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450E" w:rsidRDefault="00BC764C" w:rsidP="0043450E">
      <w:pPr>
        <w:pStyle w:val="CRCoverPage"/>
        <w:tabs>
          <w:tab w:val="right" w:pos="9639"/>
        </w:tabs>
        <w:spacing w:after="0"/>
        <w:rPr>
          <w:b/>
          <w:i/>
          <w:noProof/>
          <w:sz w:val="28"/>
        </w:rPr>
      </w:pPr>
      <w:r>
        <w:rPr>
          <w:b/>
          <w:noProof/>
          <w:sz w:val="24"/>
        </w:rPr>
        <w:t>3GPP TSG-WG RAN4 Meeting #83</w:t>
      </w:r>
      <w:r w:rsidR="0043450E">
        <w:rPr>
          <w:b/>
          <w:i/>
          <w:noProof/>
          <w:sz w:val="28"/>
        </w:rPr>
        <w:tab/>
      </w:r>
      <w:r w:rsidR="00D62DA4" w:rsidRPr="00D62DA4">
        <w:rPr>
          <w:b/>
          <w:i/>
          <w:noProof/>
          <w:sz w:val="28"/>
        </w:rPr>
        <w:t>R4-1706694</w:t>
      </w:r>
    </w:p>
    <w:p w:rsidR="0043450E" w:rsidRDefault="00BC764C" w:rsidP="0043450E">
      <w:pPr>
        <w:pStyle w:val="CRCoverPage"/>
        <w:outlineLvl w:val="0"/>
        <w:rPr>
          <w:b/>
          <w:noProof/>
          <w:sz w:val="24"/>
        </w:rPr>
      </w:pPr>
      <w:r>
        <w:rPr>
          <w:b/>
          <w:noProof/>
          <w:sz w:val="24"/>
        </w:rPr>
        <w:t>Hangzhou</w:t>
      </w:r>
      <w:r w:rsidR="0043450E">
        <w:rPr>
          <w:b/>
          <w:noProof/>
          <w:sz w:val="24"/>
        </w:rPr>
        <w:t xml:space="preserve">, </w:t>
      </w:r>
      <w:r>
        <w:rPr>
          <w:b/>
          <w:noProof/>
          <w:sz w:val="24"/>
        </w:rPr>
        <w:t>China</w:t>
      </w:r>
      <w:r w:rsidR="0043450E">
        <w:rPr>
          <w:b/>
          <w:noProof/>
          <w:sz w:val="24"/>
        </w:rPr>
        <w:t xml:space="preserve">,  Date </w:t>
      </w:r>
      <w:r>
        <w:rPr>
          <w:b/>
          <w:noProof/>
          <w:sz w:val="24"/>
        </w:rPr>
        <w:t>15</w:t>
      </w:r>
      <w:r w:rsidRPr="00BC764C">
        <w:rPr>
          <w:b/>
          <w:noProof/>
          <w:sz w:val="24"/>
          <w:vertAlign w:val="superscript"/>
        </w:rPr>
        <w:t>th</w:t>
      </w:r>
      <w:r>
        <w:rPr>
          <w:b/>
          <w:noProof/>
          <w:sz w:val="24"/>
        </w:rPr>
        <w:t xml:space="preserve"> </w:t>
      </w:r>
      <w:r w:rsidR="0043450E">
        <w:rPr>
          <w:b/>
          <w:noProof/>
          <w:sz w:val="24"/>
        </w:rPr>
        <w:t xml:space="preserve">– </w:t>
      </w:r>
      <w:r>
        <w:rPr>
          <w:b/>
          <w:noProof/>
          <w:sz w:val="24"/>
        </w:rPr>
        <w:t>19</w:t>
      </w:r>
      <w:r w:rsidR="0043450E" w:rsidRPr="00EB72E3">
        <w:rPr>
          <w:b/>
          <w:noProof/>
          <w:sz w:val="24"/>
          <w:vertAlign w:val="superscript"/>
        </w:rPr>
        <w:t>th</w:t>
      </w:r>
      <w:r w:rsidR="0043450E">
        <w:rPr>
          <w:b/>
          <w:noProof/>
          <w:sz w:val="24"/>
        </w:rPr>
        <w:t xml:space="preserve"> </w:t>
      </w:r>
      <w:r>
        <w:rPr>
          <w:b/>
          <w:noProof/>
          <w:sz w:val="24"/>
        </w:rPr>
        <w:t>May</w:t>
      </w:r>
      <w:r w:rsidR="0043450E">
        <w:rPr>
          <w:b/>
          <w:noProof/>
          <w:sz w:val="24"/>
        </w:rPr>
        <w:t>, 2017</w:t>
      </w:r>
    </w:p>
    <w:p w:rsidR="0043450E" w:rsidRDefault="0043450E" w:rsidP="0043450E">
      <w:pPr>
        <w:overflowPunct/>
        <w:autoSpaceDE/>
        <w:autoSpaceDN/>
        <w:adjustRightInd/>
        <w:textAlignment w:val="auto"/>
        <w:rPr>
          <w:rFonts w:ascii="Arial" w:hAnsi="Arial"/>
          <w:b/>
          <w:noProof/>
          <w:sz w:val="24"/>
        </w:rPr>
      </w:pPr>
    </w:p>
    <w:p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bookmarkStart w:id="0" w:name="_GoBack"/>
      <w:r w:rsidR="00B24E42" w:rsidRPr="00B24E42">
        <w:rPr>
          <w:sz w:val="22"/>
        </w:rPr>
        <w:t>Nokia, Alcatel-Lucent Shanghai Bell</w:t>
      </w:r>
      <w:bookmarkEnd w:id="0"/>
    </w:p>
    <w:p w:rsidR="0043450E" w:rsidRDefault="0043450E" w:rsidP="0043450E">
      <w:pPr>
        <w:rPr>
          <w:sz w:val="22"/>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EB0A5F" w:rsidRPr="00EB0A5F">
        <w:rPr>
          <w:sz w:val="22"/>
        </w:rPr>
        <w:t>Discussion on 38.101 structure</w:t>
      </w:r>
    </w:p>
    <w:p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EB0A5F">
        <w:rPr>
          <w:b/>
          <w:sz w:val="22"/>
        </w:rPr>
        <w:t>3.3.1</w:t>
      </w:r>
    </w:p>
    <w:p w:rsidR="0043450E" w:rsidRPr="00F26B60" w:rsidRDefault="0043450E" w:rsidP="0043450E">
      <w:pPr>
        <w:tabs>
          <w:tab w:val="left" w:pos="1985"/>
        </w:tabs>
        <w:jc w:val="both"/>
        <w:rPr>
          <w:caps/>
          <w:sz w:val="22"/>
        </w:rPr>
      </w:pPr>
      <w:r w:rsidRPr="00B16EEF">
        <w:rPr>
          <w:b/>
          <w:sz w:val="22"/>
        </w:rPr>
        <w:t>Document for:</w:t>
      </w:r>
      <w:r w:rsidRPr="00B16EEF">
        <w:rPr>
          <w:sz w:val="22"/>
        </w:rPr>
        <w:tab/>
      </w:r>
      <w:r w:rsidR="00EB0A5F">
        <w:rPr>
          <w:sz w:val="22"/>
        </w:rPr>
        <w:t>Discussio</w:t>
      </w:r>
      <w:r w:rsidR="00B24E42">
        <w:rPr>
          <w:sz w:val="22"/>
        </w:rPr>
        <w:t>n</w:t>
      </w:r>
    </w:p>
    <w:p w:rsidR="0043450E" w:rsidRDefault="0043450E" w:rsidP="0043450E">
      <w:pPr>
        <w:pStyle w:val="Heading1"/>
      </w:pPr>
      <w:r>
        <w:t>1</w:t>
      </w:r>
      <w:r>
        <w:tab/>
        <w:t>Introduction</w:t>
      </w:r>
    </w:p>
    <w:p w:rsidR="0043450E" w:rsidRDefault="00EB0A5F" w:rsidP="0043450E">
      <w:r>
        <w:t>In previous RAN4 meeting a WF for 38.101 was approved [1] with following agreements</w:t>
      </w:r>
    </w:p>
    <w:p w:rsidR="00EB0A5F" w:rsidRPr="00EB0A5F" w:rsidRDefault="00EB0A5F" w:rsidP="0043450E">
      <w:pPr>
        <w:rPr>
          <w:b/>
        </w:rPr>
      </w:pPr>
      <w:r w:rsidRPr="00EB0A5F">
        <w:rPr>
          <w:b/>
        </w:rPr>
        <w:t>Agreements from UE RF Evening ADHOC</w:t>
      </w:r>
    </w:p>
    <w:p w:rsidR="00000000" w:rsidRPr="00EB0A5F" w:rsidRDefault="00EB0A5F" w:rsidP="00EB0A5F">
      <w:pPr>
        <w:numPr>
          <w:ilvl w:val="0"/>
          <w:numId w:val="1"/>
        </w:numPr>
        <w:rPr>
          <w:lang w:val="fi-FI"/>
        </w:rPr>
      </w:pPr>
      <w:r>
        <w:tab/>
      </w:r>
      <w:r w:rsidR="0085078E" w:rsidRPr="00EB0A5F">
        <w:t xml:space="preserve">Develop </w:t>
      </w:r>
    </w:p>
    <w:p w:rsidR="00000000" w:rsidRPr="00EB0A5F" w:rsidRDefault="0085078E" w:rsidP="00EB0A5F">
      <w:pPr>
        <w:numPr>
          <w:ilvl w:val="1"/>
          <w:numId w:val="1"/>
        </w:numPr>
        <w:rPr>
          <w:lang w:val="fi-FI"/>
        </w:rPr>
      </w:pPr>
      <w:r w:rsidRPr="00EB0A5F">
        <w:t>NR range 1 SA document</w:t>
      </w:r>
    </w:p>
    <w:p w:rsidR="00000000" w:rsidRPr="00EB0A5F" w:rsidRDefault="0085078E" w:rsidP="00EB0A5F">
      <w:pPr>
        <w:numPr>
          <w:ilvl w:val="1"/>
          <w:numId w:val="1"/>
        </w:numPr>
        <w:rPr>
          <w:lang w:val="fi-FI"/>
        </w:rPr>
      </w:pPr>
      <w:r w:rsidRPr="00EB0A5F">
        <w:t>NR range 2 SA document</w:t>
      </w:r>
    </w:p>
    <w:p w:rsidR="00000000" w:rsidRPr="00EB0A5F" w:rsidRDefault="0085078E" w:rsidP="00EB0A5F">
      <w:pPr>
        <w:numPr>
          <w:ilvl w:val="1"/>
          <w:numId w:val="1"/>
        </w:numPr>
        <w:rPr>
          <w:lang w:val="en-US"/>
        </w:rPr>
      </w:pPr>
      <w:r w:rsidRPr="00EB0A5F">
        <w:t>full NR r1+ NR r2 and NR+LTE document</w:t>
      </w:r>
    </w:p>
    <w:p w:rsidR="00000000" w:rsidRPr="00EB0A5F" w:rsidRDefault="0085078E" w:rsidP="00EB0A5F">
      <w:pPr>
        <w:numPr>
          <w:ilvl w:val="2"/>
          <w:numId w:val="1"/>
        </w:numPr>
        <w:rPr>
          <w:lang w:val="fi-FI"/>
        </w:rPr>
      </w:pPr>
      <w:r w:rsidRPr="00EB0A5F">
        <w:t>Meaning not just excerptions</w:t>
      </w:r>
    </w:p>
    <w:p w:rsidR="00000000" w:rsidRPr="00EB0A5F" w:rsidRDefault="0085078E" w:rsidP="00EB0A5F">
      <w:pPr>
        <w:numPr>
          <w:ilvl w:val="2"/>
          <w:numId w:val="1"/>
        </w:numPr>
        <w:rPr>
          <w:lang w:val="en-US"/>
        </w:rPr>
      </w:pPr>
      <w:r w:rsidRPr="00EB0A5F">
        <w:t>Working name is “interworking document”</w:t>
      </w:r>
    </w:p>
    <w:p w:rsidR="00000000" w:rsidRPr="00EB0A5F" w:rsidRDefault="0085078E" w:rsidP="00EB0A5F">
      <w:pPr>
        <w:numPr>
          <w:ilvl w:val="0"/>
          <w:numId w:val="1"/>
        </w:numPr>
        <w:rPr>
          <w:lang w:val="en-US"/>
        </w:rPr>
      </w:pPr>
      <w:r w:rsidRPr="00EB0A5F">
        <w:t>FFS if separate TS are needed or just one TS with multiple parts</w:t>
      </w:r>
    </w:p>
    <w:p w:rsidR="00000000" w:rsidRPr="00EB0A5F" w:rsidRDefault="0085078E" w:rsidP="00EB0A5F">
      <w:pPr>
        <w:numPr>
          <w:ilvl w:val="0"/>
          <w:numId w:val="1"/>
        </w:numPr>
        <w:rPr>
          <w:lang w:val="fi-FI"/>
        </w:rPr>
      </w:pPr>
      <w:r w:rsidRPr="00EB0A5F">
        <w:t>SA documents can follow 36.101 skeleton</w:t>
      </w:r>
    </w:p>
    <w:p w:rsidR="00000000" w:rsidRPr="00EB0A5F" w:rsidRDefault="0085078E" w:rsidP="00EB0A5F">
      <w:pPr>
        <w:numPr>
          <w:ilvl w:val="0"/>
          <w:numId w:val="1"/>
        </w:numPr>
        <w:rPr>
          <w:lang w:val="en-US"/>
        </w:rPr>
      </w:pPr>
      <w:r w:rsidRPr="00EB0A5F">
        <w:t>Structure for “interworking document” is FFS</w:t>
      </w:r>
    </w:p>
    <w:p w:rsidR="00EB0A5F" w:rsidRPr="00EB0A5F" w:rsidRDefault="00EB0A5F" w:rsidP="0043450E">
      <w:pPr>
        <w:rPr>
          <w:b/>
          <w:lang w:val="en-US"/>
        </w:rPr>
      </w:pPr>
      <w:r w:rsidRPr="00EB0A5F">
        <w:rPr>
          <w:b/>
          <w:lang w:val="en-US"/>
        </w:rPr>
        <w:t>Way Forward</w:t>
      </w:r>
    </w:p>
    <w:p w:rsidR="00000000" w:rsidRPr="00EB0A5F" w:rsidRDefault="0085078E" w:rsidP="00EB0A5F">
      <w:pPr>
        <w:numPr>
          <w:ilvl w:val="0"/>
          <w:numId w:val="2"/>
        </w:numPr>
        <w:rPr>
          <w:lang w:val="fi-FI"/>
        </w:rPr>
      </w:pPr>
      <w:r w:rsidRPr="00EB0A5F">
        <w:rPr>
          <w:lang w:val="en-US"/>
        </w:rPr>
        <w:t>Define Technical Specifications as follows</w:t>
      </w:r>
    </w:p>
    <w:p w:rsidR="00000000" w:rsidRPr="00EB0A5F" w:rsidRDefault="0085078E" w:rsidP="00EB0A5F">
      <w:pPr>
        <w:numPr>
          <w:ilvl w:val="1"/>
          <w:numId w:val="2"/>
        </w:numPr>
        <w:rPr>
          <w:lang w:val="en-US"/>
        </w:rPr>
      </w:pPr>
      <w:r w:rsidRPr="00EB0A5F">
        <w:rPr>
          <w:lang w:val="en-US"/>
        </w:rPr>
        <w:t xml:space="preserve">Technical Specification for </w:t>
      </w:r>
      <w:r w:rsidRPr="00EB0A5F">
        <w:t>NR range 1</w:t>
      </w:r>
    </w:p>
    <w:p w:rsidR="00000000" w:rsidRPr="00EB0A5F" w:rsidRDefault="0085078E" w:rsidP="00EB0A5F">
      <w:pPr>
        <w:numPr>
          <w:ilvl w:val="1"/>
          <w:numId w:val="2"/>
        </w:numPr>
        <w:rPr>
          <w:lang w:val="en-US"/>
        </w:rPr>
      </w:pPr>
      <w:r w:rsidRPr="00EB0A5F">
        <w:rPr>
          <w:lang w:val="en-US"/>
        </w:rPr>
        <w:t xml:space="preserve">Technical Specification for </w:t>
      </w:r>
      <w:r w:rsidRPr="00EB0A5F">
        <w:t xml:space="preserve">NR range 2 </w:t>
      </w:r>
    </w:p>
    <w:p w:rsidR="00000000" w:rsidRPr="00EB0A5F" w:rsidRDefault="0085078E" w:rsidP="00EB0A5F">
      <w:pPr>
        <w:numPr>
          <w:ilvl w:val="1"/>
          <w:numId w:val="2"/>
        </w:numPr>
        <w:rPr>
          <w:lang w:val="en-US"/>
        </w:rPr>
      </w:pPr>
      <w:r w:rsidRPr="00EB0A5F">
        <w:t xml:space="preserve">Technical Specification for NR interworking between NR range1 + NR range2 and between NR and LTE </w:t>
      </w:r>
    </w:p>
    <w:p w:rsidR="00000000" w:rsidRPr="00EB0A5F" w:rsidRDefault="0085078E" w:rsidP="00EB0A5F">
      <w:pPr>
        <w:numPr>
          <w:ilvl w:val="0"/>
          <w:numId w:val="2"/>
        </w:numPr>
        <w:rPr>
          <w:lang w:val="fi-FI"/>
        </w:rPr>
      </w:pPr>
      <w:r w:rsidRPr="00EB0A5F">
        <w:t>Update WID accordingly</w:t>
      </w:r>
    </w:p>
    <w:p w:rsidR="00000000" w:rsidRPr="00EB0A5F" w:rsidRDefault="0085078E" w:rsidP="00EB0A5F">
      <w:pPr>
        <w:numPr>
          <w:ilvl w:val="0"/>
          <w:numId w:val="2"/>
        </w:numPr>
        <w:rPr>
          <w:lang w:val="fi-FI"/>
        </w:rPr>
      </w:pPr>
      <w:r w:rsidRPr="00EB0A5F">
        <w:rPr>
          <w:lang w:val="en-US"/>
        </w:rPr>
        <w:t>For performance requirements:</w:t>
      </w:r>
    </w:p>
    <w:p w:rsidR="00000000" w:rsidRPr="00EB0A5F" w:rsidRDefault="0085078E" w:rsidP="00EB0A5F">
      <w:pPr>
        <w:numPr>
          <w:ilvl w:val="1"/>
          <w:numId w:val="2"/>
        </w:numPr>
        <w:rPr>
          <w:lang w:val="en-US"/>
        </w:rPr>
      </w:pPr>
      <w:r w:rsidRPr="00EB0A5F">
        <w:rPr>
          <w:lang w:val="en-US"/>
        </w:rPr>
        <w:t>Study what is impact to pe</w:t>
      </w:r>
      <w:r w:rsidRPr="00EB0A5F">
        <w:rPr>
          <w:lang w:val="en-US"/>
        </w:rPr>
        <w:t>rformance requirement documentation structure in light of agreements above</w:t>
      </w:r>
    </w:p>
    <w:p w:rsidR="00000000" w:rsidRPr="00EB0A5F" w:rsidRDefault="0085078E" w:rsidP="00EB0A5F">
      <w:pPr>
        <w:numPr>
          <w:ilvl w:val="1"/>
          <w:numId w:val="2"/>
        </w:numPr>
        <w:rPr>
          <w:lang w:val="en-US"/>
        </w:rPr>
      </w:pPr>
      <w:r w:rsidRPr="00EB0A5F">
        <w:rPr>
          <w:lang w:val="en-US"/>
        </w:rPr>
        <w:t>Consider also locations of general definitions</w:t>
      </w:r>
    </w:p>
    <w:p w:rsidR="00EB0A5F" w:rsidRPr="00EB0A5F" w:rsidRDefault="00EB0A5F" w:rsidP="00EB0A5F">
      <w:pPr>
        <w:rPr>
          <w:lang w:val="en-US"/>
        </w:rPr>
      </w:pPr>
      <w:r w:rsidRPr="00EB0A5F">
        <w:rPr>
          <w:lang w:val="en-US"/>
        </w:rPr>
        <w:t>In this contribution we discusse details for Technical Specification for NR range 1</w:t>
      </w:r>
    </w:p>
    <w:p w:rsidR="0043450E" w:rsidRDefault="0043450E" w:rsidP="0043450E">
      <w:pPr>
        <w:pStyle w:val="Heading1"/>
      </w:pPr>
      <w:bookmarkStart w:id="1" w:name="_Toc286177644"/>
      <w:r>
        <w:lastRenderedPageBreak/>
        <w:t>2</w:t>
      </w:r>
      <w:r>
        <w:tab/>
        <w:t>Discussion</w:t>
      </w:r>
    </w:p>
    <w:p w:rsidR="0043450E" w:rsidRDefault="00EB0A5F" w:rsidP="0043450E">
      <w:r>
        <w:t>It is already decided that the skeleton NR standalone specificaations follow 36.101 skeleton which is good for readability. What we can learn from 36.101 is that</w:t>
      </w:r>
      <w:r w:rsidR="00285D19">
        <w:t xml:space="preserve"> we should avoid creating too long clauses because this makes navigation of the specification difficult as one is able to jump from navigation panel only to beginning of a clasue and it the </w:t>
      </w:r>
      <w:r w:rsidR="00043B83">
        <w:t>clasue is 68 pages long as claus</w:t>
      </w:r>
      <w:r w:rsidR="00285D19">
        <w:t>e 7.3.1A is at the moment in REL-14 spec it makes acces of content in the middle of the clause time consuming. Another example</w:t>
      </w:r>
      <w:r w:rsidR="00DE55B4">
        <w:t>s</w:t>
      </w:r>
      <w:r w:rsidR="00285D19">
        <w:t xml:space="preserve"> of unnecessary </w:t>
      </w:r>
      <w:r w:rsidR="00DE55B4">
        <w:t>long clasue are 5.6.1A which is 47 pages and</w:t>
      </w:r>
      <w:r w:rsidR="00285D19">
        <w:t xml:space="preserve"> 6.2.5 which is </w:t>
      </w:r>
      <w:r w:rsidR="00043B83">
        <w:t>31 pages</w:t>
      </w:r>
      <w:r w:rsidR="00DE55B4">
        <w:t xml:space="preserve"> long</w:t>
      </w:r>
      <w:r w:rsidR="00043B83">
        <w:t xml:space="preserve">. </w:t>
      </w:r>
    </w:p>
    <w:p w:rsidR="00043B83" w:rsidRDefault="00043B83" w:rsidP="0043450E">
      <w:r>
        <w:t xml:space="preserve">Another leassons learnt is that </w:t>
      </w:r>
      <w:r w:rsidR="00F5204D">
        <w:t>people should pay attention to styles thay are using when creating CR’s. As an example if one looks navigation panel with headings one shuóuld only see clause headers yet also some Tables headers are visible. Also MCC could correct this kind of errors while updating the specifications.</w:t>
      </w:r>
    </w:p>
    <w:p w:rsidR="00DF35FF" w:rsidRDefault="00DF35FF" w:rsidP="0043450E">
      <w:r w:rsidRPr="00043B83">
        <w:rPr>
          <w:b/>
        </w:rPr>
        <w:t>Observation</w:t>
      </w:r>
      <w:r>
        <w:rPr>
          <w:b/>
        </w:rPr>
        <w:t xml:space="preserve"> 1</w:t>
      </w:r>
      <w:r w:rsidRPr="00043B83">
        <w:rPr>
          <w:b/>
        </w:rPr>
        <w:t>: Avoid too long clauses to help navigation of the specification by using sub-clauses</w:t>
      </w:r>
      <w:r>
        <w:rPr>
          <w:b/>
        </w:rPr>
        <w:t xml:space="preserve"> and pay attention to correct formatting of styles</w:t>
      </w:r>
    </w:p>
    <w:p w:rsidR="00F5204D" w:rsidRDefault="00F5204D" w:rsidP="0043450E">
      <w:r>
        <w:t xml:space="preserve">It is our understanding the CA which have only NR range 1 bands involved should go to same technical specification as NR range 1 SA. Furher more </w:t>
      </w:r>
      <w:r>
        <w:t xml:space="preserve">CA which have only NR range </w:t>
      </w:r>
      <w:r>
        <w:t>2</w:t>
      </w:r>
      <w:r>
        <w:t xml:space="preserve"> bands involved should go to same techn</w:t>
      </w:r>
      <w:r>
        <w:t>ical specification as NR range 2</w:t>
      </w:r>
      <w:r>
        <w:t xml:space="preserve"> SA</w:t>
      </w:r>
      <w:r>
        <w:t xml:space="preserve"> and any mix of range 1, range 2 and LTE goes to the third </w:t>
      </w:r>
      <w:r w:rsidRPr="00EB0A5F">
        <w:t>NR interworking</w:t>
      </w:r>
      <w:r>
        <w:t xml:space="preserve"> specification.</w:t>
      </w:r>
    </w:p>
    <w:p w:rsidR="00F5204D" w:rsidRDefault="00F5204D" w:rsidP="0043450E">
      <w:pPr>
        <w:rPr>
          <w:b/>
        </w:rPr>
      </w:pPr>
      <w:r w:rsidRPr="00F5204D">
        <w:rPr>
          <w:b/>
        </w:rPr>
        <w:t xml:space="preserve">Observation 2: </w:t>
      </w:r>
      <w:r w:rsidRPr="00F5204D">
        <w:rPr>
          <w:b/>
        </w:rPr>
        <w:t>CA which have only NR range 1 bands involved should go to same technical specification as NR range 1 SA.</w:t>
      </w:r>
    </w:p>
    <w:p w:rsidR="00DF35FF" w:rsidRDefault="00DF35FF" w:rsidP="0043450E">
      <w:r w:rsidRPr="00DF35FF">
        <w:t>In order</w:t>
      </w:r>
      <w:r>
        <w:t xml:space="preserve"> to be able to </w:t>
      </w:r>
      <w:r w:rsidR="00E33730">
        <w:t>create specification for NR CA somekind of naming scheme is needed for NR. In LTE RAN4 has used the CA acronym where operating bands and CA BW Classes are used, see Figure 1.</w:t>
      </w:r>
    </w:p>
    <w:p w:rsidR="00E33730" w:rsidRDefault="00E33730" w:rsidP="0043450E"/>
    <w:p w:rsidR="00E33730" w:rsidRDefault="00E33730" w:rsidP="00E33730">
      <w:pPr>
        <w:jc w:val="center"/>
      </w:pPr>
      <w:r w:rsidRPr="00E33730">
        <w:rPr>
          <w:lang w:val="en-US"/>
        </w:rPr>
        <w:object w:dxaOrig="12945"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8pt;height:107.4pt" o:ole="">
            <v:imagedata r:id="rId7" o:title=""/>
          </v:shape>
          <o:OLEObject Type="Embed" ProgID="Visio.Drawing.15" ShapeID="_x0000_i1025" DrawAspect="Content" ObjectID="_1559401026" r:id="rId8"/>
        </w:object>
      </w:r>
    </w:p>
    <w:p w:rsidR="00E33730" w:rsidRDefault="00E33730" w:rsidP="00E33730">
      <w:pPr>
        <w:jc w:val="center"/>
        <w:rPr>
          <w:b/>
        </w:rPr>
      </w:pPr>
      <w:r w:rsidRPr="00E33730">
        <w:rPr>
          <w:b/>
        </w:rPr>
        <w:t>Figure 1: LTE CA naming scheme</w:t>
      </w:r>
    </w:p>
    <w:p w:rsidR="00E33730" w:rsidRDefault="00E33730" w:rsidP="00E33730">
      <w:r>
        <w:t>We have made proposal in this meeting to separate NR bands from LTE bands with n-prefix [2]. If this is agreed it gives possibility to re-use the LTE CA acroymn concept as it would be evident from acronynm which are NR bands and which are LTE bands incase of LTE+NE interworking. Some possible examples</w:t>
      </w:r>
    </w:p>
    <w:p w:rsidR="00E33730" w:rsidRDefault="00E33730" w:rsidP="00E33730">
      <w:r>
        <w:t>CA_n1-n2 = NR interband CA with NR bands n1 and n2</w:t>
      </w:r>
    </w:p>
    <w:p w:rsidR="00E33730" w:rsidRDefault="00E33730" w:rsidP="00E33730">
      <w:r>
        <w:t>CA_1A-n2 = LTE+NR interworking with LTE band 1 and NR band n2</w:t>
      </w:r>
    </w:p>
    <w:p w:rsidR="00E33730" w:rsidRDefault="00E33730" w:rsidP="00E33730">
      <w:r>
        <w:t>This brigns us the to the question that does NR need CA bandwidth classes like LTE?</w:t>
      </w:r>
      <w:r w:rsidR="00DE55B4">
        <w:t xml:space="preserve"> In our view CA bandwidth classes have been usefull and help to name the CA configuratios logically which is needed inorder to be able to write the specifications.</w:t>
      </w:r>
    </w:p>
    <w:p w:rsidR="00DE55B4" w:rsidRDefault="00DE55B4" w:rsidP="00E33730">
      <w:pPr>
        <w:rPr>
          <w:b/>
        </w:rPr>
      </w:pPr>
      <w:r w:rsidRPr="00DE55B4">
        <w:rPr>
          <w:b/>
        </w:rPr>
        <w:t>Observation 3: R</w:t>
      </w:r>
      <w:r w:rsidR="00D62DA4">
        <w:rPr>
          <w:b/>
        </w:rPr>
        <w:t>AN</w:t>
      </w:r>
      <w:r w:rsidRPr="00DE55B4">
        <w:rPr>
          <w:b/>
        </w:rPr>
        <w:t xml:space="preserve">4 to discuss if </w:t>
      </w:r>
      <w:r w:rsidR="006A175A">
        <w:rPr>
          <w:b/>
        </w:rPr>
        <w:t xml:space="preserve"> LTE CA acronym and </w:t>
      </w:r>
      <w:r w:rsidRPr="00DE55B4">
        <w:rPr>
          <w:b/>
        </w:rPr>
        <w:t>CA bandwidth class concept should be re-used for NR.</w:t>
      </w:r>
    </w:p>
    <w:p w:rsidR="00DE55B4" w:rsidRDefault="00DE55B4" w:rsidP="00E33730">
      <w:r w:rsidRPr="00DE55B4">
        <w:t>What</w:t>
      </w:r>
      <w:r>
        <w:t xml:space="preserve"> RAN4 should also discuss is that is it necessary to use Bandwidth combination set -concept in NR as for</w:t>
      </w:r>
      <w:r w:rsidR="00D62DA4">
        <w:t>-example LTE CA_4A-12A has 6 sets</w:t>
      </w:r>
      <w:r>
        <w:t xml:space="preserve"> and BCS 5 is a subset of BCS 4 which is sub-set of BCS 1</w:t>
      </w:r>
      <w:r w:rsidR="00D62DA4">
        <w:t xml:space="preserve"> </w:t>
      </w:r>
      <w:r>
        <w:t>and BCS 2</w:t>
      </w:r>
      <w:r w:rsidR="00D62DA4">
        <w:t>. If BCS are not used then UE should propably support all NR channel bandwidth that are defiend for the NR band that is part of CA.</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615"/>
        <w:gridCol w:w="590"/>
        <w:gridCol w:w="692"/>
        <w:gridCol w:w="1187"/>
        <w:gridCol w:w="1288"/>
      </w:tblGrid>
      <w:tr w:rsidR="00DE55B4" w:rsidRPr="00570FF5" w:rsidTr="00012680">
        <w:trPr>
          <w:trHeight w:val="223"/>
          <w:jc w:val="center"/>
        </w:trPr>
        <w:tc>
          <w:tcPr>
            <w:tcW w:w="1396" w:type="dxa"/>
            <w:vMerge w:val="restart"/>
            <w:vAlign w:val="center"/>
          </w:tcPr>
          <w:p w:rsidR="00DE55B4" w:rsidRPr="00570FF5" w:rsidRDefault="00DE55B4" w:rsidP="00012680">
            <w:pPr>
              <w:pStyle w:val="TAC"/>
              <w:rPr>
                <w:rFonts w:cs="Arial"/>
              </w:rPr>
            </w:pPr>
            <w:r w:rsidRPr="00570FF5">
              <w:rPr>
                <w:rFonts w:cs="Arial"/>
              </w:rPr>
              <w:lastRenderedPageBreak/>
              <w:t>CA_4A-12A</w:t>
            </w:r>
          </w:p>
        </w:tc>
        <w:tc>
          <w:tcPr>
            <w:tcW w:w="1466" w:type="dxa"/>
            <w:vMerge w:val="restart"/>
            <w:vAlign w:val="center"/>
          </w:tcPr>
          <w:p w:rsidR="00DE55B4" w:rsidRPr="00570FF5" w:rsidRDefault="00DE55B4" w:rsidP="00012680">
            <w:pPr>
              <w:pStyle w:val="TAC"/>
              <w:rPr>
                <w:rFonts w:cs="Arial"/>
              </w:rPr>
            </w:pPr>
            <w:r w:rsidRPr="00570FF5">
              <w:rPr>
                <w:rFonts w:cs="Arial" w:hint="eastAsia"/>
                <w:lang w:eastAsia="ko-KR"/>
              </w:rPr>
              <w:t>CA_4A-12A</w:t>
            </w:r>
          </w:p>
        </w:tc>
        <w:tc>
          <w:tcPr>
            <w:tcW w:w="767" w:type="dxa"/>
            <w:shd w:val="clear" w:color="auto" w:fill="auto"/>
            <w:vAlign w:val="center"/>
          </w:tcPr>
          <w:p w:rsidR="00DE55B4" w:rsidRPr="00570FF5" w:rsidRDefault="00DE55B4" w:rsidP="00012680">
            <w:pPr>
              <w:pStyle w:val="TAC"/>
              <w:rPr>
                <w:rFonts w:cs="Arial"/>
              </w:rPr>
            </w:pPr>
            <w:r w:rsidRPr="00570FF5">
              <w:rPr>
                <w:rFonts w:cs="Arial"/>
              </w:rPr>
              <w:t>4</w:t>
            </w:r>
          </w:p>
        </w:tc>
        <w:tc>
          <w:tcPr>
            <w:tcW w:w="586" w:type="dxa"/>
            <w:shd w:val="clear" w:color="auto" w:fill="auto"/>
            <w:vAlign w:val="center"/>
          </w:tcPr>
          <w:p w:rsidR="00DE55B4" w:rsidRPr="00570FF5" w:rsidRDefault="00DE55B4" w:rsidP="00012680">
            <w:pPr>
              <w:pStyle w:val="TAC"/>
              <w:rPr>
                <w:rFonts w:cs="Arial"/>
              </w:rPr>
            </w:pPr>
            <w:r w:rsidRPr="00570FF5">
              <w:rPr>
                <w:rFonts w:cs="Arial"/>
              </w:rPr>
              <w:t>Yes</w:t>
            </w:r>
          </w:p>
        </w:tc>
        <w:tc>
          <w:tcPr>
            <w:tcW w:w="586" w:type="dxa"/>
            <w:vAlign w:val="center"/>
          </w:tcPr>
          <w:p w:rsidR="00DE55B4" w:rsidRPr="00570FF5" w:rsidRDefault="00DE55B4" w:rsidP="00012680">
            <w:pPr>
              <w:pStyle w:val="TAC"/>
              <w:rPr>
                <w:rFonts w:cs="Arial"/>
              </w:rPr>
            </w:pPr>
            <w:r w:rsidRPr="00570FF5">
              <w:rPr>
                <w:rFonts w:cs="Arial"/>
              </w:rPr>
              <w:t>Yes</w:t>
            </w:r>
          </w:p>
        </w:tc>
        <w:tc>
          <w:tcPr>
            <w:tcW w:w="586" w:type="dxa"/>
            <w:vAlign w:val="center"/>
          </w:tcPr>
          <w:p w:rsidR="00DE55B4" w:rsidRPr="00570FF5" w:rsidRDefault="00DE55B4" w:rsidP="00012680">
            <w:pPr>
              <w:pStyle w:val="TAC"/>
              <w:rPr>
                <w:rFonts w:cs="Arial"/>
              </w:rPr>
            </w:pPr>
            <w:r w:rsidRPr="00570FF5">
              <w:rPr>
                <w:rFonts w:cs="Arial"/>
              </w:rPr>
              <w:t>Yes</w:t>
            </w:r>
          </w:p>
        </w:tc>
        <w:tc>
          <w:tcPr>
            <w:tcW w:w="615" w:type="dxa"/>
            <w:vAlign w:val="center"/>
          </w:tcPr>
          <w:p w:rsidR="00DE55B4" w:rsidRPr="00570FF5" w:rsidRDefault="00DE55B4" w:rsidP="00012680">
            <w:pPr>
              <w:pStyle w:val="TAC"/>
              <w:rPr>
                <w:rFonts w:cs="Arial"/>
              </w:rPr>
            </w:pPr>
            <w:r w:rsidRPr="00570FF5">
              <w:rPr>
                <w:rFonts w:cs="Arial"/>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restart"/>
            <w:vAlign w:val="center"/>
          </w:tcPr>
          <w:p w:rsidR="00DE55B4" w:rsidRPr="00570FF5" w:rsidRDefault="00DE55B4" w:rsidP="00012680">
            <w:pPr>
              <w:pStyle w:val="TAC"/>
              <w:rPr>
                <w:rFonts w:cs="Arial"/>
              </w:rPr>
            </w:pPr>
            <w:r w:rsidRPr="00570FF5">
              <w:rPr>
                <w:rFonts w:cs="Arial"/>
              </w:rPr>
              <w:t>20</w:t>
            </w:r>
          </w:p>
        </w:tc>
        <w:tc>
          <w:tcPr>
            <w:tcW w:w="1288" w:type="dxa"/>
            <w:vMerge w:val="restart"/>
            <w:vAlign w:val="center"/>
          </w:tcPr>
          <w:p w:rsidR="00DE55B4" w:rsidRPr="00570FF5" w:rsidRDefault="00DE55B4" w:rsidP="00012680">
            <w:pPr>
              <w:pStyle w:val="TAC"/>
              <w:rPr>
                <w:rFonts w:cs="Arial"/>
              </w:rPr>
            </w:pPr>
            <w:r w:rsidRPr="00570FF5">
              <w:rPr>
                <w:rFonts w:cs="Arial"/>
              </w:rPr>
              <w:t>0</w:t>
            </w: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12</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rPr>
              <w:t>Yes</w:t>
            </w:r>
          </w:p>
        </w:tc>
        <w:tc>
          <w:tcPr>
            <w:tcW w:w="615" w:type="dxa"/>
            <w:vAlign w:val="center"/>
          </w:tcPr>
          <w:p w:rsidR="00DE55B4" w:rsidRPr="00570FF5" w:rsidRDefault="00DE55B4" w:rsidP="00012680">
            <w:pPr>
              <w:pStyle w:val="TAC"/>
              <w:rPr>
                <w:rFonts w:cs="Arial"/>
              </w:rPr>
            </w:pPr>
            <w:r w:rsidRPr="00570FF5">
              <w:rPr>
                <w:rFonts w:cs="Arial"/>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ign w:val="center"/>
          </w:tcPr>
          <w:p w:rsidR="00DE55B4" w:rsidRPr="00570FF5" w:rsidRDefault="00DE55B4" w:rsidP="00012680">
            <w:pPr>
              <w:pStyle w:val="TAC"/>
              <w:rPr>
                <w:rFonts w:cs="Arial"/>
              </w:rPr>
            </w:pPr>
          </w:p>
        </w:tc>
        <w:tc>
          <w:tcPr>
            <w:tcW w:w="1288" w:type="dxa"/>
            <w:vMerge/>
            <w:vAlign w:val="center"/>
          </w:tcPr>
          <w:p w:rsidR="00DE55B4" w:rsidRPr="00570FF5" w:rsidRDefault="00DE55B4" w:rsidP="00012680">
            <w:pPr>
              <w:pStyle w:val="TAC"/>
              <w:rPr>
                <w:rFonts w:cs="Arial"/>
              </w:rPr>
            </w:pP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4</w:t>
            </w:r>
          </w:p>
        </w:tc>
        <w:tc>
          <w:tcPr>
            <w:tcW w:w="586" w:type="dxa"/>
            <w:shd w:val="clear" w:color="auto" w:fill="auto"/>
            <w:vAlign w:val="center"/>
          </w:tcPr>
          <w:p w:rsidR="00DE55B4" w:rsidRPr="00570FF5" w:rsidRDefault="00DE55B4" w:rsidP="00012680">
            <w:pPr>
              <w:pStyle w:val="TAC"/>
              <w:rPr>
                <w:rFonts w:cs="Arial"/>
              </w:rPr>
            </w:pPr>
            <w:r w:rsidRPr="00570FF5">
              <w:rPr>
                <w:rFonts w:cs="Arial"/>
              </w:rPr>
              <w:t>Yes</w:t>
            </w:r>
          </w:p>
        </w:tc>
        <w:tc>
          <w:tcPr>
            <w:tcW w:w="586" w:type="dxa"/>
            <w:vAlign w:val="center"/>
          </w:tcPr>
          <w:p w:rsidR="00DE55B4" w:rsidRPr="00570FF5" w:rsidRDefault="00DE55B4" w:rsidP="00012680">
            <w:pPr>
              <w:pStyle w:val="TAC"/>
              <w:rPr>
                <w:rFonts w:cs="Arial"/>
              </w:rPr>
            </w:pPr>
            <w:r w:rsidRPr="00570FF5">
              <w:rPr>
                <w:rFonts w:cs="Arial"/>
              </w:rPr>
              <w:t>Yes</w:t>
            </w:r>
          </w:p>
        </w:tc>
        <w:tc>
          <w:tcPr>
            <w:tcW w:w="586" w:type="dxa"/>
            <w:vAlign w:val="center"/>
          </w:tcPr>
          <w:p w:rsidR="00DE55B4" w:rsidRPr="00570FF5" w:rsidRDefault="00DE55B4" w:rsidP="00012680">
            <w:pPr>
              <w:pStyle w:val="TAC"/>
              <w:rPr>
                <w:rFonts w:cs="Arial"/>
              </w:rPr>
            </w:pPr>
            <w:r w:rsidRPr="00570FF5">
              <w:rPr>
                <w:rFonts w:cs="Arial"/>
              </w:rPr>
              <w:t>Yes</w:t>
            </w:r>
          </w:p>
        </w:tc>
        <w:tc>
          <w:tcPr>
            <w:tcW w:w="615" w:type="dxa"/>
            <w:vAlign w:val="center"/>
          </w:tcPr>
          <w:p w:rsidR="00DE55B4" w:rsidRPr="00570FF5" w:rsidRDefault="00DE55B4" w:rsidP="00012680">
            <w:pPr>
              <w:pStyle w:val="TAC"/>
              <w:rPr>
                <w:rFonts w:cs="Arial"/>
              </w:rPr>
            </w:pPr>
            <w:r w:rsidRPr="00570FF5">
              <w:rPr>
                <w:rFonts w:cs="Arial"/>
              </w:rPr>
              <w:t>Yes</w:t>
            </w:r>
          </w:p>
        </w:tc>
        <w:tc>
          <w:tcPr>
            <w:tcW w:w="590" w:type="dxa"/>
            <w:vAlign w:val="center"/>
          </w:tcPr>
          <w:p w:rsidR="00DE55B4" w:rsidRPr="00570FF5" w:rsidRDefault="00DE55B4" w:rsidP="00012680">
            <w:pPr>
              <w:pStyle w:val="TAC"/>
              <w:rPr>
                <w:rFonts w:cs="Arial"/>
              </w:rPr>
            </w:pPr>
            <w:r w:rsidRPr="00570FF5">
              <w:rPr>
                <w:rFonts w:cs="Arial"/>
              </w:rPr>
              <w:t>Yes</w:t>
            </w:r>
          </w:p>
        </w:tc>
        <w:tc>
          <w:tcPr>
            <w:tcW w:w="692" w:type="dxa"/>
            <w:vAlign w:val="center"/>
          </w:tcPr>
          <w:p w:rsidR="00DE55B4" w:rsidRPr="00570FF5" w:rsidRDefault="00DE55B4" w:rsidP="00012680">
            <w:pPr>
              <w:pStyle w:val="TAC"/>
              <w:rPr>
                <w:rFonts w:cs="Arial"/>
              </w:rPr>
            </w:pPr>
            <w:r w:rsidRPr="00570FF5">
              <w:rPr>
                <w:rFonts w:cs="Arial"/>
              </w:rPr>
              <w:t>Yes</w:t>
            </w:r>
          </w:p>
        </w:tc>
        <w:tc>
          <w:tcPr>
            <w:tcW w:w="1187" w:type="dxa"/>
            <w:vMerge w:val="restart"/>
            <w:vAlign w:val="center"/>
          </w:tcPr>
          <w:p w:rsidR="00DE55B4" w:rsidRPr="00570FF5" w:rsidRDefault="00DE55B4" w:rsidP="00012680">
            <w:pPr>
              <w:pStyle w:val="TAC"/>
              <w:rPr>
                <w:rFonts w:cs="Arial"/>
              </w:rPr>
            </w:pPr>
            <w:r w:rsidRPr="00570FF5">
              <w:rPr>
                <w:rFonts w:cs="Arial"/>
              </w:rPr>
              <w:t>30</w:t>
            </w:r>
          </w:p>
        </w:tc>
        <w:tc>
          <w:tcPr>
            <w:tcW w:w="1288" w:type="dxa"/>
            <w:vMerge w:val="restart"/>
            <w:vAlign w:val="center"/>
          </w:tcPr>
          <w:p w:rsidR="00DE55B4" w:rsidRPr="00570FF5" w:rsidRDefault="00DE55B4" w:rsidP="00012680">
            <w:pPr>
              <w:pStyle w:val="TAC"/>
              <w:rPr>
                <w:rFonts w:cs="Arial"/>
              </w:rPr>
            </w:pPr>
            <w:r w:rsidRPr="00570FF5">
              <w:rPr>
                <w:rFonts w:cs="Arial"/>
              </w:rPr>
              <w:t>1</w:t>
            </w: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12</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rPr>
              <w:t>Yes</w:t>
            </w:r>
          </w:p>
        </w:tc>
        <w:tc>
          <w:tcPr>
            <w:tcW w:w="615" w:type="dxa"/>
            <w:vAlign w:val="center"/>
          </w:tcPr>
          <w:p w:rsidR="00DE55B4" w:rsidRPr="00570FF5" w:rsidRDefault="00DE55B4" w:rsidP="00012680">
            <w:pPr>
              <w:pStyle w:val="TAC"/>
              <w:rPr>
                <w:rFonts w:cs="Arial"/>
              </w:rPr>
            </w:pPr>
            <w:r w:rsidRPr="00570FF5">
              <w:rPr>
                <w:rFonts w:cs="Arial"/>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ign w:val="center"/>
          </w:tcPr>
          <w:p w:rsidR="00DE55B4" w:rsidRPr="00570FF5" w:rsidRDefault="00DE55B4" w:rsidP="00012680">
            <w:pPr>
              <w:pStyle w:val="TAC"/>
              <w:rPr>
                <w:rFonts w:cs="Arial"/>
              </w:rPr>
            </w:pPr>
          </w:p>
        </w:tc>
        <w:tc>
          <w:tcPr>
            <w:tcW w:w="1288" w:type="dxa"/>
            <w:vMerge/>
            <w:vAlign w:val="center"/>
          </w:tcPr>
          <w:p w:rsidR="00DE55B4" w:rsidRPr="00570FF5" w:rsidRDefault="00DE55B4" w:rsidP="00012680">
            <w:pPr>
              <w:pStyle w:val="TAC"/>
              <w:rPr>
                <w:rFonts w:cs="Arial"/>
              </w:rPr>
            </w:pP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4</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615" w:type="dxa"/>
            <w:vAlign w:val="center"/>
          </w:tcPr>
          <w:p w:rsidR="00DE55B4" w:rsidRPr="00570FF5" w:rsidRDefault="00DE55B4" w:rsidP="00012680">
            <w:pPr>
              <w:pStyle w:val="TAC"/>
              <w:rPr>
                <w:rFonts w:cs="Arial"/>
              </w:rPr>
            </w:pPr>
            <w:r w:rsidRPr="00570FF5">
              <w:rPr>
                <w:rFonts w:cs="Arial"/>
                <w:lang w:eastAsia="zh-CN"/>
              </w:rPr>
              <w:t>Yes</w:t>
            </w:r>
          </w:p>
        </w:tc>
        <w:tc>
          <w:tcPr>
            <w:tcW w:w="590" w:type="dxa"/>
            <w:vAlign w:val="center"/>
          </w:tcPr>
          <w:p w:rsidR="00DE55B4" w:rsidRPr="00570FF5" w:rsidRDefault="00DE55B4" w:rsidP="00012680">
            <w:pPr>
              <w:pStyle w:val="TAC"/>
              <w:rPr>
                <w:rFonts w:cs="Arial"/>
              </w:rPr>
            </w:pPr>
            <w:r w:rsidRPr="00570FF5">
              <w:rPr>
                <w:rFonts w:cs="Arial"/>
                <w:lang w:eastAsia="zh-CN"/>
              </w:rPr>
              <w:t>Yes</w:t>
            </w:r>
          </w:p>
        </w:tc>
        <w:tc>
          <w:tcPr>
            <w:tcW w:w="692" w:type="dxa"/>
            <w:vAlign w:val="center"/>
          </w:tcPr>
          <w:p w:rsidR="00DE55B4" w:rsidRPr="00570FF5" w:rsidRDefault="00DE55B4" w:rsidP="00012680">
            <w:pPr>
              <w:pStyle w:val="TAC"/>
              <w:rPr>
                <w:rFonts w:cs="Arial"/>
              </w:rPr>
            </w:pPr>
            <w:r w:rsidRPr="00570FF5">
              <w:rPr>
                <w:rFonts w:cs="Arial"/>
                <w:lang w:eastAsia="zh-CN"/>
              </w:rPr>
              <w:t>Yes</w:t>
            </w:r>
          </w:p>
        </w:tc>
        <w:tc>
          <w:tcPr>
            <w:tcW w:w="1187" w:type="dxa"/>
            <w:vMerge w:val="restart"/>
            <w:vAlign w:val="center"/>
          </w:tcPr>
          <w:p w:rsidR="00DE55B4" w:rsidRPr="00570FF5" w:rsidRDefault="00DE55B4" w:rsidP="00012680">
            <w:pPr>
              <w:pStyle w:val="TAC"/>
              <w:rPr>
                <w:rFonts w:cs="Arial"/>
              </w:rPr>
            </w:pPr>
            <w:r w:rsidRPr="00570FF5">
              <w:rPr>
                <w:rFonts w:cs="Arial"/>
              </w:rPr>
              <w:t>30</w:t>
            </w:r>
          </w:p>
        </w:tc>
        <w:tc>
          <w:tcPr>
            <w:tcW w:w="1288" w:type="dxa"/>
            <w:vMerge w:val="restart"/>
            <w:vAlign w:val="center"/>
          </w:tcPr>
          <w:p w:rsidR="00DE55B4" w:rsidRPr="00570FF5" w:rsidRDefault="00DE55B4" w:rsidP="00012680">
            <w:pPr>
              <w:pStyle w:val="TAC"/>
              <w:rPr>
                <w:rFonts w:cs="Arial"/>
              </w:rPr>
            </w:pPr>
            <w:r w:rsidRPr="00570FF5">
              <w:rPr>
                <w:rFonts w:cs="Arial"/>
              </w:rPr>
              <w:t>2</w:t>
            </w: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12</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615" w:type="dxa"/>
            <w:vAlign w:val="center"/>
          </w:tcPr>
          <w:p w:rsidR="00DE55B4" w:rsidRPr="00570FF5" w:rsidRDefault="00DE55B4" w:rsidP="00012680">
            <w:pPr>
              <w:pStyle w:val="TAC"/>
              <w:rPr>
                <w:rFonts w:cs="Arial"/>
              </w:rPr>
            </w:pPr>
            <w:r w:rsidRPr="00570FF5">
              <w:rPr>
                <w:rFonts w:cs="Arial"/>
                <w:lang w:eastAsia="zh-CN"/>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ign w:val="center"/>
          </w:tcPr>
          <w:p w:rsidR="00DE55B4" w:rsidRPr="00570FF5" w:rsidRDefault="00DE55B4" w:rsidP="00012680">
            <w:pPr>
              <w:pStyle w:val="TAC"/>
              <w:rPr>
                <w:rFonts w:cs="Arial"/>
              </w:rPr>
            </w:pPr>
          </w:p>
        </w:tc>
        <w:tc>
          <w:tcPr>
            <w:tcW w:w="1288" w:type="dxa"/>
            <w:vMerge/>
            <w:vAlign w:val="center"/>
          </w:tcPr>
          <w:p w:rsidR="00DE55B4" w:rsidRPr="00570FF5" w:rsidRDefault="00DE55B4" w:rsidP="00012680">
            <w:pPr>
              <w:pStyle w:val="TAC"/>
              <w:rPr>
                <w:rFonts w:cs="Arial"/>
              </w:rPr>
            </w:pP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4</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615" w:type="dxa"/>
            <w:vAlign w:val="center"/>
          </w:tcPr>
          <w:p w:rsidR="00DE55B4" w:rsidRPr="00570FF5" w:rsidRDefault="00DE55B4" w:rsidP="00012680">
            <w:pPr>
              <w:pStyle w:val="TAC"/>
              <w:rPr>
                <w:rFonts w:cs="Arial"/>
              </w:rPr>
            </w:pPr>
            <w:r w:rsidRPr="00570FF5">
              <w:rPr>
                <w:rFonts w:cs="Arial"/>
                <w:lang w:eastAsia="zh-CN"/>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restart"/>
            <w:vAlign w:val="center"/>
          </w:tcPr>
          <w:p w:rsidR="00DE55B4" w:rsidRPr="00570FF5" w:rsidRDefault="00DE55B4" w:rsidP="00012680">
            <w:pPr>
              <w:pStyle w:val="TAC"/>
              <w:rPr>
                <w:rFonts w:cs="Arial"/>
              </w:rPr>
            </w:pPr>
            <w:r w:rsidRPr="00570FF5">
              <w:rPr>
                <w:rFonts w:cs="Arial"/>
              </w:rPr>
              <w:t>20</w:t>
            </w:r>
          </w:p>
        </w:tc>
        <w:tc>
          <w:tcPr>
            <w:tcW w:w="1288" w:type="dxa"/>
            <w:vMerge w:val="restart"/>
            <w:vAlign w:val="center"/>
          </w:tcPr>
          <w:p w:rsidR="00DE55B4" w:rsidRPr="00570FF5" w:rsidRDefault="00DE55B4" w:rsidP="00012680">
            <w:pPr>
              <w:pStyle w:val="TAC"/>
              <w:rPr>
                <w:rFonts w:cs="Arial"/>
              </w:rPr>
            </w:pPr>
            <w:r w:rsidRPr="00570FF5">
              <w:rPr>
                <w:rFonts w:cs="Arial"/>
              </w:rPr>
              <w:t>3</w:t>
            </w: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12</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615" w:type="dxa"/>
            <w:vAlign w:val="center"/>
          </w:tcPr>
          <w:p w:rsidR="00DE55B4" w:rsidRPr="00570FF5" w:rsidRDefault="00DE55B4" w:rsidP="00012680">
            <w:pPr>
              <w:pStyle w:val="TAC"/>
              <w:rPr>
                <w:rFonts w:cs="Arial"/>
              </w:rPr>
            </w:pPr>
            <w:r w:rsidRPr="00570FF5">
              <w:rPr>
                <w:rFonts w:cs="Arial"/>
                <w:lang w:eastAsia="zh-CN"/>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ign w:val="center"/>
          </w:tcPr>
          <w:p w:rsidR="00DE55B4" w:rsidRPr="00570FF5" w:rsidRDefault="00DE55B4" w:rsidP="00012680">
            <w:pPr>
              <w:pStyle w:val="TAC"/>
              <w:rPr>
                <w:rFonts w:cs="Arial"/>
              </w:rPr>
            </w:pPr>
          </w:p>
        </w:tc>
        <w:tc>
          <w:tcPr>
            <w:tcW w:w="1288" w:type="dxa"/>
            <w:vMerge/>
            <w:vAlign w:val="center"/>
          </w:tcPr>
          <w:p w:rsidR="00DE55B4" w:rsidRPr="00570FF5" w:rsidRDefault="00DE55B4" w:rsidP="00012680">
            <w:pPr>
              <w:pStyle w:val="TAC"/>
              <w:rPr>
                <w:rFonts w:cs="Arial"/>
              </w:rPr>
            </w:pP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4</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615" w:type="dxa"/>
            <w:vAlign w:val="center"/>
          </w:tcPr>
          <w:p w:rsidR="00DE55B4" w:rsidRPr="00570FF5" w:rsidRDefault="00DE55B4" w:rsidP="00012680">
            <w:pPr>
              <w:pStyle w:val="TAC"/>
              <w:rPr>
                <w:rFonts w:cs="Arial"/>
              </w:rPr>
            </w:pPr>
            <w:r w:rsidRPr="00570FF5">
              <w:rPr>
                <w:rFonts w:cs="Arial"/>
                <w:lang w:eastAsia="zh-CN"/>
              </w:rPr>
              <w:t>Yes</w:t>
            </w:r>
          </w:p>
        </w:tc>
        <w:tc>
          <w:tcPr>
            <w:tcW w:w="590" w:type="dxa"/>
            <w:vAlign w:val="center"/>
          </w:tcPr>
          <w:p w:rsidR="00DE55B4" w:rsidRPr="00570FF5" w:rsidRDefault="00DE55B4" w:rsidP="00012680">
            <w:pPr>
              <w:pStyle w:val="TAC"/>
              <w:rPr>
                <w:rFonts w:cs="Arial"/>
              </w:rPr>
            </w:pPr>
            <w:r w:rsidRPr="00570FF5">
              <w:rPr>
                <w:rFonts w:cs="Arial"/>
                <w:lang w:eastAsia="zh-CN"/>
              </w:rPr>
              <w:t>Yes</w:t>
            </w:r>
          </w:p>
        </w:tc>
        <w:tc>
          <w:tcPr>
            <w:tcW w:w="692" w:type="dxa"/>
            <w:vAlign w:val="center"/>
          </w:tcPr>
          <w:p w:rsidR="00DE55B4" w:rsidRPr="00570FF5" w:rsidRDefault="00DE55B4" w:rsidP="00012680">
            <w:pPr>
              <w:pStyle w:val="TAC"/>
              <w:rPr>
                <w:rFonts w:cs="Arial"/>
              </w:rPr>
            </w:pPr>
            <w:r w:rsidRPr="00570FF5">
              <w:rPr>
                <w:rFonts w:cs="Arial"/>
                <w:lang w:eastAsia="zh-CN"/>
              </w:rPr>
              <w:t>Yes</w:t>
            </w:r>
          </w:p>
        </w:tc>
        <w:tc>
          <w:tcPr>
            <w:tcW w:w="1187" w:type="dxa"/>
            <w:vMerge w:val="restart"/>
            <w:vAlign w:val="center"/>
          </w:tcPr>
          <w:p w:rsidR="00DE55B4" w:rsidRPr="00570FF5" w:rsidRDefault="00DE55B4" w:rsidP="00012680">
            <w:pPr>
              <w:pStyle w:val="TAC"/>
              <w:rPr>
                <w:rFonts w:cs="Arial"/>
              </w:rPr>
            </w:pPr>
            <w:r w:rsidRPr="00570FF5">
              <w:rPr>
                <w:rFonts w:cs="Arial"/>
              </w:rPr>
              <w:t>30</w:t>
            </w:r>
          </w:p>
        </w:tc>
        <w:tc>
          <w:tcPr>
            <w:tcW w:w="1288" w:type="dxa"/>
            <w:vMerge w:val="restart"/>
            <w:vAlign w:val="center"/>
          </w:tcPr>
          <w:p w:rsidR="00DE55B4" w:rsidRPr="00570FF5" w:rsidRDefault="00DE55B4" w:rsidP="00012680">
            <w:pPr>
              <w:pStyle w:val="TAC"/>
              <w:rPr>
                <w:rFonts w:cs="Arial"/>
              </w:rPr>
            </w:pPr>
            <w:r w:rsidRPr="00570FF5">
              <w:rPr>
                <w:rFonts w:cs="Arial"/>
              </w:rPr>
              <w:t>4</w:t>
            </w: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12</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r w:rsidRPr="00570FF5">
              <w:rPr>
                <w:rFonts w:cs="Arial"/>
                <w:lang w:eastAsia="zh-CN"/>
              </w:rPr>
              <w:t>Yes</w:t>
            </w:r>
          </w:p>
        </w:tc>
        <w:tc>
          <w:tcPr>
            <w:tcW w:w="615" w:type="dxa"/>
            <w:vAlign w:val="center"/>
          </w:tcPr>
          <w:p w:rsidR="00DE55B4" w:rsidRPr="00570FF5" w:rsidRDefault="00DE55B4" w:rsidP="00012680">
            <w:pPr>
              <w:pStyle w:val="TAC"/>
              <w:rPr>
                <w:rFonts w:cs="Arial"/>
              </w:rPr>
            </w:pPr>
            <w:r w:rsidRPr="00570FF5">
              <w:rPr>
                <w:rFonts w:cs="Arial"/>
                <w:lang w:eastAsia="zh-CN"/>
              </w:rPr>
              <w:t>Yes</w:t>
            </w: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ign w:val="center"/>
          </w:tcPr>
          <w:p w:rsidR="00DE55B4" w:rsidRPr="00570FF5" w:rsidRDefault="00DE55B4" w:rsidP="00012680">
            <w:pPr>
              <w:pStyle w:val="TAC"/>
              <w:rPr>
                <w:rFonts w:cs="Arial"/>
              </w:rPr>
            </w:pPr>
          </w:p>
        </w:tc>
        <w:tc>
          <w:tcPr>
            <w:tcW w:w="1288" w:type="dxa"/>
            <w:vMerge/>
            <w:vAlign w:val="center"/>
          </w:tcPr>
          <w:p w:rsidR="00DE55B4" w:rsidRPr="00570FF5" w:rsidRDefault="00DE55B4" w:rsidP="00012680">
            <w:pPr>
              <w:pStyle w:val="TAC"/>
              <w:rPr>
                <w:rFonts w:cs="Arial"/>
              </w:rPr>
            </w:pP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4</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lang w:eastAsia="zh-CN"/>
              </w:rPr>
            </w:pPr>
            <w:r w:rsidRPr="00570FF5">
              <w:rPr>
                <w:rFonts w:cs="Arial"/>
                <w:lang w:eastAsia="zh-CN"/>
              </w:rPr>
              <w:t>Yes</w:t>
            </w:r>
          </w:p>
        </w:tc>
        <w:tc>
          <w:tcPr>
            <w:tcW w:w="615" w:type="dxa"/>
            <w:vAlign w:val="center"/>
          </w:tcPr>
          <w:p w:rsidR="00DE55B4" w:rsidRPr="00570FF5" w:rsidRDefault="00DE55B4" w:rsidP="00012680">
            <w:pPr>
              <w:pStyle w:val="TAC"/>
              <w:rPr>
                <w:rFonts w:cs="Arial"/>
                <w:lang w:eastAsia="zh-CN"/>
              </w:rPr>
            </w:pPr>
            <w:r w:rsidRPr="00570FF5">
              <w:rPr>
                <w:rFonts w:cs="Arial"/>
                <w:lang w:eastAsia="zh-CN"/>
              </w:rPr>
              <w:t>Yes</w:t>
            </w:r>
          </w:p>
        </w:tc>
        <w:tc>
          <w:tcPr>
            <w:tcW w:w="590" w:type="dxa"/>
            <w:vAlign w:val="center"/>
          </w:tcPr>
          <w:p w:rsidR="00DE55B4" w:rsidRPr="00570FF5" w:rsidRDefault="00DE55B4" w:rsidP="00012680">
            <w:pPr>
              <w:pStyle w:val="TAC"/>
              <w:rPr>
                <w:rFonts w:cs="Arial"/>
              </w:rPr>
            </w:pPr>
            <w:r w:rsidRPr="00570FF5">
              <w:rPr>
                <w:rFonts w:cs="Arial"/>
              </w:rPr>
              <w:t>Yes</w:t>
            </w:r>
          </w:p>
        </w:tc>
        <w:tc>
          <w:tcPr>
            <w:tcW w:w="692" w:type="dxa"/>
            <w:vAlign w:val="center"/>
          </w:tcPr>
          <w:p w:rsidR="00DE55B4" w:rsidRPr="00570FF5" w:rsidRDefault="00DE55B4" w:rsidP="00012680">
            <w:pPr>
              <w:pStyle w:val="TAC"/>
              <w:rPr>
                <w:rFonts w:cs="Arial"/>
              </w:rPr>
            </w:pPr>
          </w:p>
        </w:tc>
        <w:tc>
          <w:tcPr>
            <w:tcW w:w="1187" w:type="dxa"/>
            <w:vMerge w:val="restart"/>
            <w:vAlign w:val="center"/>
          </w:tcPr>
          <w:p w:rsidR="00DE55B4" w:rsidRPr="00570FF5" w:rsidRDefault="00DE55B4" w:rsidP="00012680">
            <w:pPr>
              <w:pStyle w:val="TAC"/>
              <w:rPr>
                <w:rFonts w:cs="Arial"/>
              </w:rPr>
            </w:pPr>
            <w:r w:rsidRPr="00570FF5">
              <w:rPr>
                <w:rFonts w:cs="Arial"/>
              </w:rPr>
              <w:t>20</w:t>
            </w:r>
          </w:p>
        </w:tc>
        <w:tc>
          <w:tcPr>
            <w:tcW w:w="1288" w:type="dxa"/>
            <w:vMerge w:val="restart"/>
            <w:vAlign w:val="center"/>
          </w:tcPr>
          <w:p w:rsidR="00DE55B4" w:rsidRPr="00570FF5" w:rsidRDefault="00DE55B4" w:rsidP="00012680">
            <w:pPr>
              <w:pStyle w:val="TAC"/>
              <w:rPr>
                <w:rFonts w:cs="Arial"/>
              </w:rPr>
            </w:pPr>
            <w:r w:rsidRPr="00570FF5">
              <w:rPr>
                <w:rFonts w:cs="Arial"/>
              </w:rPr>
              <w:t>5</w:t>
            </w:r>
          </w:p>
        </w:tc>
      </w:tr>
      <w:tr w:rsidR="00DE55B4" w:rsidRPr="00570FF5" w:rsidTr="00012680">
        <w:trPr>
          <w:trHeight w:val="223"/>
          <w:jc w:val="center"/>
        </w:trPr>
        <w:tc>
          <w:tcPr>
            <w:tcW w:w="1396" w:type="dxa"/>
            <w:vMerge/>
            <w:vAlign w:val="center"/>
          </w:tcPr>
          <w:p w:rsidR="00DE55B4" w:rsidRPr="00570FF5" w:rsidRDefault="00DE55B4" w:rsidP="00012680">
            <w:pPr>
              <w:pStyle w:val="TAC"/>
              <w:rPr>
                <w:rFonts w:cs="Arial"/>
              </w:rPr>
            </w:pPr>
          </w:p>
        </w:tc>
        <w:tc>
          <w:tcPr>
            <w:tcW w:w="1466" w:type="dxa"/>
            <w:vMerge/>
            <w:vAlign w:val="center"/>
          </w:tcPr>
          <w:p w:rsidR="00DE55B4" w:rsidRPr="00570FF5" w:rsidRDefault="00DE55B4" w:rsidP="00012680">
            <w:pPr>
              <w:pStyle w:val="TAC"/>
              <w:rPr>
                <w:rFonts w:cs="Arial"/>
              </w:rPr>
            </w:pPr>
          </w:p>
        </w:tc>
        <w:tc>
          <w:tcPr>
            <w:tcW w:w="767" w:type="dxa"/>
            <w:shd w:val="clear" w:color="auto" w:fill="auto"/>
            <w:vAlign w:val="center"/>
          </w:tcPr>
          <w:p w:rsidR="00DE55B4" w:rsidRPr="00570FF5" w:rsidRDefault="00DE55B4" w:rsidP="00012680">
            <w:pPr>
              <w:pStyle w:val="TAC"/>
              <w:rPr>
                <w:rFonts w:cs="Arial"/>
              </w:rPr>
            </w:pPr>
            <w:r w:rsidRPr="00570FF5">
              <w:rPr>
                <w:rFonts w:cs="Arial"/>
              </w:rPr>
              <w:t>12</w:t>
            </w:r>
          </w:p>
        </w:tc>
        <w:tc>
          <w:tcPr>
            <w:tcW w:w="586" w:type="dxa"/>
            <w:shd w:val="clear" w:color="auto" w:fill="auto"/>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rPr>
            </w:pPr>
          </w:p>
        </w:tc>
        <w:tc>
          <w:tcPr>
            <w:tcW w:w="586" w:type="dxa"/>
            <w:vAlign w:val="center"/>
          </w:tcPr>
          <w:p w:rsidR="00DE55B4" w:rsidRPr="00570FF5" w:rsidRDefault="00DE55B4" w:rsidP="00012680">
            <w:pPr>
              <w:pStyle w:val="TAC"/>
              <w:rPr>
                <w:rFonts w:cs="Arial"/>
                <w:lang w:eastAsia="zh-CN"/>
              </w:rPr>
            </w:pPr>
            <w:r w:rsidRPr="00570FF5">
              <w:rPr>
                <w:rFonts w:cs="Arial"/>
                <w:lang w:eastAsia="zh-CN"/>
              </w:rPr>
              <w:t>Yes</w:t>
            </w:r>
          </w:p>
        </w:tc>
        <w:tc>
          <w:tcPr>
            <w:tcW w:w="615" w:type="dxa"/>
            <w:vAlign w:val="center"/>
          </w:tcPr>
          <w:p w:rsidR="00DE55B4" w:rsidRPr="00570FF5" w:rsidRDefault="00DE55B4" w:rsidP="00012680">
            <w:pPr>
              <w:pStyle w:val="TAC"/>
              <w:rPr>
                <w:rFonts w:cs="Arial"/>
                <w:lang w:eastAsia="zh-CN"/>
              </w:rPr>
            </w:pPr>
          </w:p>
        </w:tc>
        <w:tc>
          <w:tcPr>
            <w:tcW w:w="590" w:type="dxa"/>
            <w:vAlign w:val="center"/>
          </w:tcPr>
          <w:p w:rsidR="00DE55B4" w:rsidRPr="00570FF5" w:rsidRDefault="00DE55B4" w:rsidP="00012680">
            <w:pPr>
              <w:pStyle w:val="TAC"/>
              <w:rPr>
                <w:rFonts w:cs="Arial"/>
              </w:rPr>
            </w:pPr>
          </w:p>
        </w:tc>
        <w:tc>
          <w:tcPr>
            <w:tcW w:w="692" w:type="dxa"/>
            <w:vAlign w:val="center"/>
          </w:tcPr>
          <w:p w:rsidR="00DE55B4" w:rsidRPr="00570FF5" w:rsidRDefault="00DE55B4" w:rsidP="00012680">
            <w:pPr>
              <w:pStyle w:val="TAC"/>
              <w:rPr>
                <w:rFonts w:cs="Arial"/>
              </w:rPr>
            </w:pPr>
          </w:p>
        </w:tc>
        <w:tc>
          <w:tcPr>
            <w:tcW w:w="1187" w:type="dxa"/>
            <w:vMerge/>
            <w:vAlign w:val="center"/>
          </w:tcPr>
          <w:p w:rsidR="00DE55B4" w:rsidRPr="00570FF5" w:rsidRDefault="00DE55B4" w:rsidP="00012680">
            <w:pPr>
              <w:pStyle w:val="TAC"/>
              <w:rPr>
                <w:rFonts w:cs="Arial"/>
              </w:rPr>
            </w:pPr>
          </w:p>
        </w:tc>
        <w:tc>
          <w:tcPr>
            <w:tcW w:w="1288" w:type="dxa"/>
            <w:vMerge/>
            <w:vAlign w:val="center"/>
          </w:tcPr>
          <w:p w:rsidR="00DE55B4" w:rsidRPr="00570FF5" w:rsidRDefault="00DE55B4" w:rsidP="00012680">
            <w:pPr>
              <w:pStyle w:val="TAC"/>
              <w:rPr>
                <w:rFonts w:cs="Arial"/>
              </w:rPr>
            </w:pPr>
          </w:p>
        </w:tc>
      </w:tr>
    </w:tbl>
    <w:p w:rsidR="00DE55B4" w:rsidRDefault="00DE55B4" w:rsidP="00E33730"/>
    <w:p w:rsidR="00D62DA4" w:rsidRDefault="00D62DA4" w:rsidP="00E33730">
      <w:pPr>
        <w:rPr>
          <w:b/>
        </w:rPr>
      </w:pPr>
      <w:r>
        <w:rPr>
          <w:b/>
        </w:rPr>
        <w:t xml:space="preserve">Observation 4: </w:t>
      </w:r>
      <w:r w:rsidRPr="00DE55B4">
        <w:rPr>
          <w:b/>
        </w:rPr>
        <w:t>R</w:t>
      </w:r>
      <w:r>
        <w:rPr>
          <w:b/>
        </w:rPr>
        <w:t>AN</w:t>
      </w:r>
      <w:r w:rsidRPr="00DE55B4">
        <w:rPr>
          <w:b/>
        </w:rPr>
        <w:t>4 to discuss if CA</w:t>
      </w:r>
      <w:r>
        <w:rPr>
          <w:b/>
        </w:rPr>
        <w:t xml:space="preserve"> BCS consept can be avoided</w:t>
      </w:r>
    </w:p>
    <w:p w:rsidR="00D62DA4" w:rsidRDefault="007A592D" w:rsidP="00E33730">
      <w:r>
        <w:t>Closely l</w:t>
      </w:r>
      <w:r w:rsidR="00504CF7">
        <w:t>i</w:t>
      </w:r>
      <w:r w:rsidR="00B24E42">
        <w:t xml:space="preserve">nked to BCS discussion are the Tables which determine for contiguous intraband CA the CC bandwidths in increasing carrier frequency order. It may not be necessary for NR to re-use this tight definition of CC bandwidths. </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70"/>
        <w:gridCol w:w="1609"/>
        <w:gridCol w:w="1452"/>
        <w:gridCol w:w="1337"/>
        <w:gridCol w:w="1205"/>
        <w:gridCol w:w="1205"/>
        <w:gridCol w:w="1205"/>
        <w:gridCol w:w="1269"/>
      </w:tblGrid>
      <w:tr w:rsidR="00D62DA4" w:rsidRPr="00570FF5" w:rsidTr="00012680">
        <w:trPr>
          <w:trHeight w:val="20"/>
          <w:jc w:val="center"/>
        </w:trPr>
        <w:tc>
          <w:tcPr>
            <w:tcW w:w="1308" w:type="dxa"/>
            <w:vMerge w:val="restart"/>
            <w:vAlign w:val="center"/>
          </w:tcPr>
          <w:p w:rsidR="00D62DA4" w:rsidRPr="00570FF5" w:rsidRDefault="00D62DA4" w:rsidP="00012680">
            <w:pPr>
              <w:pStyle w:val="TAH"/>
              <w:rPr>
                <w:rFonts w:cs="Arial"/>
                <w:lang w:val="en-US"/>
              </w:rPr>
            </w:pPr>
            <w:r w:rsidRPr="00570FF5">
              <w:rPr>
                <w:rFonts w:cs="Arial"/>
                <w:lang w:val="en-US"/>
              </w:rPr>
              <w:t xml:space="preserve">E-UTRA </w:t>
            </w:r>
            <w:smartTag w:uri="urn:schemas-microsoft-com:office:smarttags" w:element="State">
              <w:r w:rsidRPr="00570FF5">
                <w:rPr>
                  <w:rFonts w:cs="Arial"/>
                  <w:lang w:val="en-US"/>
                </w:rPr>
                <w:t>CA</w:t>
              </w:r>
            </w:smartTag>
            <w:r w:rsidRPr="00570FF5">
              <w:rPr>
                <w:rFonts w:cs="Arial"/>
                <w:lang w:val="en-US"/>
              </w:rPr>
              <w:t xml:space="preserve"> configuration</w:t>
            </w:r>
          </w:p>
        </w:tc>
        <w:tc>
          <w:tcPr>
            <w:tcW w:w="1170" w:type="dxa"/>
            <w:vMerge w:val="restart"/>
          </w:tcPr>
          <w:p w:rsidR="00D62DA4" w:rsidRPr="00570FF5" w:rsidRDefault="00D62DA4" w:rsidP="00012680">
            <w:pPr>
              <w:pStyle w:val="TAH"/>
              <w:rPr>
                <w:rFonts w:cs="Arial" w:hint="eastAsia"/>
                <w:lang w:val="en-US" w:eastAsia="ja-JP"/>
              </w:rPr>
            </w:pPr>
            <w:r w:rsidRPr="00570FF5">
              <w:rPr>
                <w:rFonts w:cs="Arial" w:hint="eastAsia"/>
                <w:lang w:val="en-US" w:eastAsia="ja-JP"/>
              </w:rPr>
              <w:t>Uplink CA configurations</w:t>
            </w:r>
          </w:p>
          <w:p w:rsidR="00D62DA4" w:rsidRPr="00570FF5" w:rsidRDefault="00D62DA4" w:rsidP="00012680">
            <w:pPr>
              <w:pStyle w:val="TAH"/>
              <w:rPr>
                <w:rFonts w:cs="Arial"/>
                <w:lang w:val="en-US"/>
              </w:rPr>
            </w:pPr>
            <w:r w:rsidRPr="00570FF5">
              <w:rPr>
                <w:rFonts w:cs="Arial" w:hint="eastAsia"/>
                <w:lang w:val="en-US" w:eastAsia="ja-JP"/>
              </w:rPr>
              <w:t>(NOTE 3)</w:t>
            </w:r>
          </w:p>
        </w:tc>
        <w:tc>
          <w:tcPr>
            <w:tcW w:w="6808" w:type="dxa"/>
            <w:gridSpan w:val="5"/>
            <w:shd w:val="clear" w:color="auto" w:fill="auto"/>
            <w:vAlign w:val="center"/>
          </w:tcPr>
          <w:p w:rsidR="00D62DA4" w:rsidRPr="00570FF5" w:rsidRDefault="00D62DA4" w:rsidP="00012680">
            <w:pPr>
              <w:pStyle w:val="TAH"/>
              <w:rPr>
                <w:rFonts w:cs="Arial"/>
                <w:lang w:val="en-US"/>
              </w:rPr>
            </w:pPr>
            <w:r w:rsidRPr="00570FF5">
              <w:rPr>
                <w:rFonts w:cs="Arial"/>
                <w:lang w:val="en-US"/>
              </w:rPr>
              <w:t>Component carriers in order of increasing carrier frequency</w:t>
            </w:r>
          </w:p>
        </w:tc>
        <w:tc>
          <w:tcPr>
            <w:tcW w:w="1205" w:type="dxa"/>
            <w:vMerge w:val="restart"/>
            <w:vAlign w:val="center"/>
          </w:tcPr>
          <w:p w:rsidR="00D62DA4" w:rsidRPr="00570FF5" w:rsidRDefault="00D62DA4" w:rsidP="00012680">
            <w:pPr>
              <w:pStyle w:val="TAH"/>
              <w:rPr>
                <w:rFonts w:cs="Arial"/>
                <w:lang w:val="en-US"/>
              </w:rPr>
            </w:pPr>
            <w:r w:rsidRPr="00570FF5">
              <w:rPr>
                <w:rFonts w:cs="Arial"/>
                <w:lang w:val="en-US"/>
              </w:rPr>
              <w:t xml:space="preserve">Maximum aggregated </w:t>
            </w:r>
            <w:r w:rsidRPr="00570FF5">
              <w:rPr>
                <w:rFonts w:cs="Arial"/>
                <w:lang w:val="en-US"/>
              </w:rPr>
              <w:br/>
              <w:t>bandwidth [MHz]</w:t>
            </w:r>
          </w:p>
        </w:tc>
        <w:tc>
          <w:tcPr>
            <w:tcW w:w="1269" w:type="dxa"/>
            <w:vMerge w:val="restart"/>
            <w:vAlign w:val="center"/>
          </w:tcPr>
          <w:p w:rsidR="00D62DA4" w:rsidRPr="00570FF5" w:rsidRDefault="00D62DA4" w:rsidP="00012680">
            <w:pPr>
              <w:pStyle w:val="TAH"/>
              <w:rPr>
                <w:rFonts w:cs="Arial"/>
                <w:lang w:val="en-US"/>
              </w:rPr>
            </w:pPr>
            <w:r w:rsidRPr="00570FF5">
              <w:rPr>
                <w:rFonts w:cs="Arial"/>
                <w:lang w:val="en-US"/>
              </w:rPr>
              <w:t>Bandwidth combination set</w:t>
            </w:r>
          </w:p>
        </w:tc>
      </w:tr>
      <w:tr w:rsidR="00D62DA4" w:rsidRPr="00570FF5" w:rsidTr="00012680">
        <w:trPr>
          <w:trHeight w:val="20"/>
          <w:jc w:val="center"/>
        </w:trPr>
        <w:tc>
          <w:tcPr>
            <w:tcW w:w="1308" w:type="dxa"/>
            <w:vMerge/>
            <w:vAlign w:val="center"/>
          </w:tcPr>
          <w:p w:rsidR="00D62DA4" w:rsidRPr="00570FF5" w:rsidRDefault="00D62DA4" w:rsidP="00012680">
            <w:pPr>
              <w:pStyle w:val="TAH"/>
              <w:rPr>
                <w:rFonts w:cs="Arial"/>
                <w:lang w:val="en-US"/>
              </w:rPr>
            </w:pPr>
          </w:p>
        </w:tc>
        <w:tc>
          <w:tcPr>
            <w:tcW w:w="1170" w:type="dxa"/>
            <w:vMerge/>
          </w:tcPr>
          <w:p w:rsidR="00D62DA4" w:rsidRPr="00570FF5" w:rsidRDefault="00D62DA4" w:rsidP="00012680">
            <w:pPr>
              <w:pStyle w:val="TAH"/>
              <w:rPr>
                <w:rFonts w:cs="Arial"/>
                <w:lang w:val="en-US"/>
              </w:rPr>
            </w:pPr>
          </w:p>
        </w:tc>
        <w:tc>
          <w:tcPr>
            <w:tcW w:w="1609" w:type="dxa"/>
            <w:shd w:val="clear" w:color="auto" w:fill="auto"/>
            <w:vAlign w:val="center"/>
          </w:tcPr>
          <w:p w:rsidR="00D62DA4" w:rsidRPr="00570FF5" w:rsidRDefault="00D62DA4" w:rsidP="00012680">
            <w:pPr>
              <w:pStyle w:val="TAH"/>
              <w:rPr>
                <w:rFonts w:cs="Arial"/>
                <w:lang w:val="en-US"/>
              </w:rPr>
            </w:pPr>
            <w:r w:rsidRPr="00570FF5">
              <w:rPr>
                <w:rFonts w:cs="Arial"/>
                <w:lang w:val="en-US"/>
              </w:rPr>
              <w:t>Channel bandwidths for carrier [MHz]</w:t>
            </w:r>
          </w:p>
        </w:tc>
        <w:tc>
          <w:tcPr>
            <w:tcW w:w="1452" w:type="dxa"/>
            <w:shd w:val="clear" w:color="auto" w:fill="auto"/>
            <w:vAlign w:val="center"/>
          </w:tcPr>
          <w:p w:rsidR="00D62DA4" w:rsidRPr="00570FF5" w:rsidRDefault="00D62DA4" w:rsidP="00012680">
            <w:pPr>
              <w:pStyle w:val="TAH"/>
              <w:rPr>
                <w:rFonts w:cs="Arial"/>
                <w:lang w:val="en-US"/>
              </w:rPr>
            </w:pPr>
            <w:r w:rsidRPr="00570FF5">
              <w:rPr>
                <w:rFonts w:cs="Arial"/>
                <w:lang w:val="en-US"/>
              </w:rPr>
              <w:t>Channel bandwidths for carrier [MHz]</w:t>
            </w:r>
          </w:p>
        </w:tc>
        <w:tc>
          <w:tcPr>
            <w:tcW w:w="1337" w:type="dxa"/>
          </w:tcPr>
          <w:p w:rsidR="00D62DA4" w:rsidRPr="00570FF5" w:rsidRDefault="00D62DA4" w:rsidP="00012680">
            <w:pPr>
              <w:pStyle w:val="TAH"/>
              <w:rPr>
                <w:rFonts w:cs="Arial"/>
                <w:lang w:val="en-US"/>
              </w:rPr>
            </w:pPr>
            <w:r w:rsidRPr="00570FF5">
              <w:rPr>
                <w:rFonts w:cs="Arial"/>
                <w:lang w:val="en-US"/>
              </w:rPr>
              <w:t>Channel bandwidths for carrier [MHz]</w:t>
            </w:r>
          </w:p>
        </w:tc>
        <w:tc>
          <w:tcPr>
            <w:tcW w:w="1205" w:type="dxa"/>
          </w:tcPr>
          <w:p w:rsidR="00D62DA4" w:rsidRPr="00570FF5" w:rsidRDefault="00D62DA4" w:rsidP="00012680">
            <w:pPr>
              <w:pStyle w:val="TAH"/>
              <w:rPr>
                <w:rFonts w:cs="Arial"/>
                <w:lang w:val="en-US"/>
              </w:rPr>
            </w:pPr>
            <w:r w:rsidRPr="00570FF5">
              <w:rPr>
                <w:rFonts w:cs="Arial"/>
                <w:lang w:val="en-US"/>
              </w:rPr>
              <w:t>Channel bandwidths for carrier [MHz]</w:t>
            </w:r>
          </w:p>
        </w:tc>
        <w:tc>
          <w:tcPr>
            <w:tcW w:w="1205" w:type="dxa"/>
          </w:tcPr>
          <w:p w:rsidR="00D62DA4" w:rsidRPr="00570FF5" w:rsidRDefault="00D62DA4" w:rsidP="00012680">
            <w:pPr>
              <w:pStyle w:val="TAH"/>
              <w:rPr>
                <w:rFonts w:cs="Arial"/>
                <w:lang w:val="en-US"/>
              </w:rPr>
            </w:pPr>
            <w:r w:rsidRPr="00570FF5">
              <w:rPr>
                <w:rFonts w:cs="Arial"/>
                <w:lang w:val="en-US"/>
              </w:rPr>
              <w:t>Channel bandwidths for carrier [MHz]</w:t>
            </w:r>
          </w:p>
        </w:tc>
        <w:tc>
          <w:tcPr>
            <w:tcW w:w="1205" w:type="dxa"/>
            <w:vMerge/>
            <w:vAlign w:val="center"/>
          </w:tcPr>
          <w:p w:rsidR="00D62DA4" w:rsidRPr="00570FF5" w:rsidRDefault="00D62DA4" w:rsidP="00012680">
            <w:pPr>
              <w:spacing w:after="0"/>
              <w:rPr>
                <w:rFonts w:ascii="Arial" w:hAnsi="Arial" w:cs="Arial"/>
                <w:b/>
                <w:bCs/>
                <w:sz w:val="18"/>
                <w:szCs w:val="18"/>
                <w:lang w:val="en-US"/>
              </w:rPr>
            </w:pPr>
          </w:p>
        </w:tc>
        <w:tc>
          <w:tcPr>
            <w:tcW w:w="1269" w:type="dxa"/>
            <w:vMerge/>
            <w:vAlign w:val="center"/>
          </w:tcPr>
          <w:p w:rsidR="00D62DA4" w:rsidRPr="00570FF5" w:rsidRDefault="00D62DA4" w:rsidP="00012680">
            <w:pPr>
              <w:spacing w:after="0"/>
              <w:rPr>
                <w:rFonts w:ascii="Arial" w:hAnsi="Arial" w:cs="Arial"/>
                <w:b/>
                <w:bCs/>
                <w:sz w:val="18"/>
                <w:szCs w:val="18"/>
                <w:lang w:val="en-US"/>
              </w:rPr>
            </w:pPr>
          </w:p>
        </w:tc>
      </w:tr>
      <w:tr w:rsidR="00D62DA4" w:rsidRPr="00570FF5" w:rsidTr="00012680">
        <w:trPr>
          <w:trHeight w:val="290"/>
          <w:jc w:val="center"/>
        </w:trPr>
        <w:tc>
          <w:tcPr>
            <w:tcW w:w="1308" w:type="dxa"/>
            <w:vMerge w:val="restart"/>
            <w:shd w:val="clear" w:color="auto" w:fill="auto"/>
            <w:vAlign w:val="center"/>
          </w:tcPr>
          <w:p w:rsidR="00D62DA4" w:rsidRPr="00570FF5" w:rsidRDefault="00D62DA4" w:rsidP="00012680">
            <w:pPr>
              <w:pStyle w:val="TAC"/>
              <w:rPr>
                <w:rFonts w:cs="Arial"/>
              </w:rPr>
            </w:pPr>
            <w:r w:rsidRPr="00570FF5">
              <w:rPr>
                <w:rFonts w:cs="Arial"/>
              </w:rPr>
              <w:t>CA_1C</w:t>
            </w:r>
          </w:p>
        </w:tc>
        <w:tc>
          <w:tcPr>
            <w:tcW w:w="1170" w:type="dxa"/>
            <w:vMerge w:val="restart"/>
            <w:vAlign w:val="center"/>
          </w:tcPr>
          <w:p w:rsidR="00D62DA4" w:rsidRPr="00570FF5" w:rsidRDefault="00D62DA4" w:rsidP="00012680">
            <w:pPr>
              <w:pStyle w:val="TAC"/>
              <w:rPr>
                <w:rFonts w:cs="Arial"/>
              </w:rPr>
            </w:pPr>
            <w:r w:rsidRPr="00570FF5">
              <w:rPr>
                <w:rFonts w:cs="Arial" w:hint="eastAsia"/>
                <w:lang w:eastAsia="ja-JP"/>
              </w:rPr>
              <w:t>CA_1C</w:t>
            </w:r>
          </w:p>
        </w:tc>
        <w:tc>
          <w:tcPr>
            <w:tcW w:w="1609" w:type="dxa"/>
            <w:shd w:val="clear" w:color="auto" w:fill="auto"/>
            <w:vAlign w:val="center"/>
          </w:tcPr>
          <w:p w:rsidR="00D62DA4" w:rsidRPr="00570FF5" w:rsidRDefault="00D62DA4" w:rsidP="00012680">
            <w:pPr>
              <w:pStyle w:val="TAC"/>
              <w:rPr>
                <w:rFonts w:cs="Arial"/>
              </w:rPr>
            </w:pPr>
            <w:r w:rsidRPr="00570FF5">
              <w:rPr>
                <w:rFonts w:cs="Arial"/>
              </w:rPr>
              <w:t>15</w:t>
            </w:r>
          </w:p>
        </w:tc>
        <w:tc>
          <w:tcPr>
            <w:tcW w:w="1452" w:type="dxa"/>
            <w:shd w:val="clear" w:color="auto" w:fill="auto"/>
            <w:vAlign w:val="center"/>
          </w:tcPr>
          <w:p w:rsidR="00D62DA4" w:rsidRPr="00570FF5" w:rsidRDefault="00D62DA4" w:rsidP="00012680">
            <w:pPr>
              <w:pStyle w:val="TAC"/>
              <w:rPr>
                <w:rFonts w:cs="Arial"/>
              </w:rPr>
            </w:pPr>
            <w:r w:rsidRPr="00570FF5">
              <w:rPr>
                <w:rFonts w:cs="Arial"/>
              </w:rPr>
              <w:t>15</w:t>
            </w:r>
          </w:p>
        </w:tc>
        <w:tc>
          <w:tcPr>
            <w:tcW w:w="1337"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vMerge w:val="restart"/>
            <w:shd w:val="clear" w:color="auto" w:fill="auto"/>
            <w:vAlign w:val="center"/>
          </w:tcPr>
          <w:p w:rsidR="00D62DA4" w:rsidRPr="00570FF5" w:rsidRDefault="00D62DA4" w:rsidP="00012680">
            <w:pPr>
              <w:pStyle w:val="TAC"/>
              <w:rPr>
                <w:rFonts w:cs="Arial"/>
              </w:rPr>
            </w:pPr>
            <w:r w:rsidRPr="00570FF5">
              <w:rPr>
                <w:rFonts w:cs="Arial"/>
              </w:rPr>
              <w:t>40</w:t>
            </w:r>
          </w:p>
        </w:tc>
        <w:tc>
          <w:tcPr>
            <w:tcW w:w="1269" w:type="dxa"/>
            <w:vMerge w:val="restart"/>
            <w:shd w:val="clear" w:color="auto" w:fill="auto"/>
            <w:vAlign w:val="center"/>
          </w:tcPr>
          <w:p w:rsidR="00D62DA4" w:rsidRPr="00570FF5" w:rsidRDefault="00D62DA4" w:rsidP="00012680">
            <w:pPr>
              <w:pStyle w:val="TAC"/>
              <w:rPr>
                <w:rFonts w:cs="Arial"/>
              </w:rPr>
            </w:pPr>
            <w:r w:rsidRPr="00570FF5">
              <w:rPr>
                <w:rFonts w:cs="Arial"/>
              </w:rPr>
              <w:t>0</w:t>
            </w:r>
          </w:p>
        </w:tc>
      </w:tr>
      <w:tr w:rsidR="00D62DA4" w:rsidRPr="00570FF5" w:rsidTr="00012680">
        <w:trPr>
          <w:trHeight w:val="290"/>
          <w:jc w:val="center"/>
        </w:trPr>
        <w:tc>
          <w:tcPr>
            <w:tcW w:w="1308" w:type="dxa"/>
            <w:vMerge/>
            <w:vAlign w:val="center"/>
          </w:tcPr>
          <w:p w:rsidR="00D62DA4" w:rsidRPr="00570FF5" w:rsidRDefault="00D62DA4" w:rsidP="00012680">
            <w:pPr>
              <w:pStyle w:val="TAC"/>
              <w:rPr>
                <w:rFonts w:cs="Arial"/>
              </w:rPr>
            </w:pPr>
          </w:p>
        </w:tc>
        <w:tc>
          <w:tcPr>
            <w:tcW w:w="1170" w:type="dxa"/>
            <w:vMerge/>
            <w:vAlign w:val="center"/>
          </w:tcPr>
          <w:p w:rsidR="00D62DA4" w:rsidRPr="00570FF5" w:rsidRDefault="00D62DA4" w:rsidP="00012680">
            <w:pPr>
              <w:pStyle w:val="TAC"/>
              <w:rPr>
                <w:rFonts w:cs="Arial"/>
              </w:rPr>
            </w:pPr>
          </w:p>
        </w:tc>
        <w:tc>
          <w:tcPr>
            <w:tcW w:w="1609" w:type="dxa"/>
            <w:shd w:val="clear" w:color="auto" w:fill="auto"/>
            <w:vAlign w:val="center"/>
          </w:tcPr>
          <w:p w:rsidR="00D62DA4" w:rsidRPr="00570FF5" w:rsidRDefault="00D62DA4" w:rsidP="00012680">
            <w:pPr>
              <w:pStyle w:val="TAC"/>
              <w:rPr>
                <w:rFonts w:cs="Arial"/>
              </w:rPr>
            </w:pPr>
            <w:r w:rsidRPr="00570FF5">
              <w:rPr>
                <w:rFonts w:cs="Arial"/>
              </w:rPr>
              <w:t>20</w:t>
            </w:r>
          </w:p>
        </w:tc>
        <w:tc>
          <w:tcPr>
            <w:tcW w:w="1452" w:type="dxa"/>
            <w:shd w:val="clear" w:color="auto" w:fill="auto"/>
            <w:vAlign w:val="center"/>
          </w:tcPr>
          <w:p w:rsidR="00D62DA4" w:rsidRPr="00570FF5" w:rsidRDefault="00D62DA4" w:rsidP="00012680">
            <w:pPr>
              <w:pStyle w:val="TAC"/>
              <w:rPr>
                <w:rFonts w:cs="Arial"/>
              </w:rPr>
            </w:pPr>
            <w:r w:rsidRPr="00570FF5">
              <w:rPr>
                <w:rFonts w:cs="Arial"/>
              </w:rPr>
              <w:t>20</w:t>
            </w:r>
          </w:p>
        </w:tc>
        <w:tc>
          <w:tcPr>
            <w:tcW w:w="1337"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vMerge/>
            <w:vAlign w:val="center"/>
          </w:tcPr>
          <w:p w:rsidR="00D62DA4" w:rsidRPr="00570FF5" w:rsidRDefault="00D62DA4" w:rsidP="00012680">
            <w:pPr>
              <w:pStyle w:val="TAC"/>
              <w:rPr>
                <w:rFonts w:cs="Arial"/>
              </w:rPr>
            </w:pPr>
          </w:p>
        </w:tc>
        <w:tc>
          <w:tcPr>
            <w:tcW w:w="1269" w:type="dxa"/>
            <w:vMerge/>
            <w:vAlign w:val="center"/>
          </w:tcPr>
          <w:p w:rsidR="00D62DA4" w:rsidRPr="00570FF5" w:rsidRDefault="00D62DA4" w:rsidP="00012680">
            <w:pPr>
              <w:pStyle w:val="TAC"/>
              <w:rPr>
                <w:rFonts w:cs="Arial"/>
              </w:rPr>
            </w:pPr>
          </w:p>
        </w:tc>
      </w:tr>
      <w:tr w:rsidR="00D62DA4" w:rsidRPr="00EC13C2" w:rsidTr="00012680">
        <w:trPr>
          <w:trHeight w:val="290"/>
          <w:jc w:val="center"/>
        </w:trPr>
        <w:tc>
          <w:tcPr>
            <w:tcW w:w="1308" w:type="dxa"/>
            <w:vMerge/>
            <w:vAlign w:val="center"/>
          </w:tcPr>
          <w:p w:rsidR="00D62DA4" w:rsidRPr="00570FF5" w:rsidRDefault="00D62DA4" w:rsidP="00012680">
            <w:pPr>
              <w:pStyle w:val="TAC"/>
              <w:rPr>
                <w:rFonts w:cs="Arial"/>
              </w:rPr>
            </w:pPr>
          </w:p>
        </w:tc>
        <w:tc>
          <w:tcPr>
            <w:tcW w:w="1170" w:type="dxa"/>
            <w:vMerge/>
            <w:vAlign w:val="center"/>
          </w:tcPr>
          <w:p w:rsidR="00D62DA4" w:rsidRPr="00570FF5" w:rsidRDefault="00D62DA4" w:rsidP="00012680">
            <w:pPr>
              <w:pStyle w:val="TAC"/>
              <w:rPr>
                <w:rFonts w:cs="Arial"/>
              </w:rPr>
            </w:pPr>
          </w:p>
        </w:tc>
        <w:tc>
          <w:tcPr>
            <w:tcW w:w="1609" w:type="dxa"/>
            <w:shd w:val="clear" w:color="auto" w:fill="auto"/>
            <w:vAlign w:val="center"/>
          </w:tcPr>
          <w:p w:rsidR="00D62DA4" w:rsidRPr="00EC13C2" w:rsidRDefault="00D62DA4" w:rsidP="00012680">
            <w:pPr>
              <w:pStyle w:val="TAC"/>
              <w:rPr>
                <w:rFonts w:cs="Arial"/>
              </w:rPr>
            </w:pPr>
            <w:r w:rsidRPr="00012680">
              <w:rPr>
                <w:rFonts w:cs="Arial"/>
                <w:color w:val="000000"/>
                <w:lang w:eastAsia="ko-KR"/>
              </w:rPr>
              <w:t>5, 10, 15</w:t>
            </w:r>
          </w:p>
        </w:tc>
        <w:tc>
          <w:tcPr>
            <w:tcW w:w="1452" w:type="dxa"/>
            <w:shd w:val="clear" w:color="auto" w:fill="auto"/>
            <w:vAlign w:val="center"/>
          </w:tcPr>
          <w:p w:rsidR="00D62DA4" w:rsidRPr="00EC13C2" w:rsidRDefault="00D62DA4" w:rsidP="00012680">
            <w:pPr>
              <w:pStyle w:val="TAC"/>
              <w:rPr>
                <w:rFonts w:cs="Arial"/>
              </w:rPr>
            </w:pPr>
            <w:r w:rsidRPr="00012680">
              <w:rPr>
                <w:rFonts w:cs="Arial"/>
                <w:color w:val="000000"/>
                <w:lang w:eastAsia="ko-KR"/>
              </w:rPr>
              <w:t>20</w:t>
            </w:r>
          </w:p>
        </w:tc>
        <w:tc>
          <w:tcPr>
            <w:tcW w:w="1337"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vMerge w:val="restart"/>
            <w:vAlign w:val="center"/>
          </w:tcPr>
          <w:p w:rsidR="00D62DA4" w:rsidRPr="00EC13C2" w:rsidRDefault="00D62DA4" w:rsidP="00012680">
            <w:pPr>
              <w:pStyle w:val="TAC"/>
              <w:rPr>
                <w:rFonts w:cs="Arial"/>
              </w:rPr>
            </w:pPr>
            <w:r w:rsidRPr="00012680">
              <w:rPr>
                <w:rFonts w:cs="Arial"/>
                <w:lang w:eastAsia="ko-KR"/>
              </w:rPr>
              <w:t>40</w:t>
            </w:r>
          </w:p>
        </w:tc>
        <w:tc>
          <w:tcPr>
            <w:tcW w:w="1269" w:type="dxa"/>
            <w:vMerge w:val="restart"/>
            <w:vAlign w:val="center"/>
          </w:tcPr>
          <w:p w:rsidR="00D62DA4" w:rsidRPr="00EC13C2" w:rsidRDefault="00D62DA4" w:rsidP="00012680">
            <w:pPr>
              <w:pStyle w:val="TAC"/>
              <w:rPr>
                <w:rFonts w:cs="Arial"/>
              </w:rPr>
            </w:pPr>
            <w:r w:rsidRPr="00012680">
              <w:rPr>
                <w:rFonts w:cs="Arial"/>
                <w:lang w:eastAsia="ko-KR"/>
              </w:rPr>
              <w:t>1</w:t>
            </w:r>
          </w:p>
        </w:tc>
      </w:tr>
      <w:tr w:rsidR="00D62DA4" w:rsidRPr="00570FF5" w:rsidTr="00012680">
        <w:trPr>
          <w:trHeight w:val="290"/>
          <w:jc w:val="center"/>
        </w:trPr>
        <w:tc>
          <w:tcPr>
            <w:tcW w:w="1308" w:type="dxa"/>
            <w:vMerge/>
            <w:vAlign w:val="center"/>
          </w:tcPr>
          <w:p w:rsidR="00D62DA4" w:rsidRPr="00570FF5" w:rsidRDefault="00D62DA4" w:rsidP="00012680">
            <w:pPr>
              <w:pStyle w:val="TAC"/>
              <w:rPr>
                <w:rFonts w:cs="Arial"/>
              </w:rPr>
            </w:pPr>
          </w:p>
        </w:tc>
        <w:tc>
          <w:tcPr>
            <w:tcW w:w="1170" w:type="dxa"/>
            <w:vMerge/>
            <w:vAlign w:val="center"/>
          </w:tcPr>
          <w:p w:rsidR="00D62DA4" w:rsidRPr="00570FF5" w:rsidRDefault="00D62DA4" w:rsidP="00012680">
            <w:pPr>
              <w:pStyle w:val="TAC"/>
              <w:rPr>
                <w:rFonts w:cs="Arial"/>
              </w:rPr>
            </w:pPr>
          </w:p>
        </w:tc>
        <w:tc>
          <w:tcPr>
            <w:tcW w:w="1609" w:type="dxa"/>
            <w:shd w:val="clear" w:color="auto" w:fill="auto"/>
            <w:vAlign w:val="center"/>
          </w:tcPr>
          <w:p w:rsidR="00D62DA4" w:rsidRPr="00EC13C2" w:rsidRDefault="00D62DA4" w:rsidP="00012680">
            <w:pPr>
              <w:pStyle w:val="TAC"/>
              <w:rPr>
                <w:rFonts w:cs="Arial"/>
              </w:rPr>
            </w:pPr>
            <w:r w:rsidRPr="00012680">
              <w:rPr>
                <w:rFonts w:cs="Arial"/>
                <w:color w:val="000000"/>
                <w:lang w:eastAsia="ko-KR"/>
              </w:rPr>
              <w:t>20</w:t>
            </w:r>
          </w:p>
        </w:tc>
        <w:tc>
          <w:tcPr>
            <w:tcW w:w="1452" w:type="dxa"/>
            <w:shd w:val="clear" w:color="auto" w:fill="auto"/>
            <w:vAlign w:val="center"/>
          </w:tcPr>
          <w:p w:rsidR="00D62DA4" w:rsidRPr="00EC13C2" w:rsidRDefault="00D62DA4" w:rsidP="00012680">
            <w:pPr>
              <w:pStyle w:val="TAC"/>
              <w:rPr>
                <w:rFonts w:cs="Arial"/>
              </w:rPr>
            </w:pPr>
            <w:r w:rsidRPr="00012680">
              <w:rPr>
                <w:rFonts w:cs="Arial"/>
                <w:color w:val="000000"/>
                <w:lang w:eastAsia="ko-KR"/>
              </w:rPr>
              <w:t>5, 10, 15, 20</w:t>
            </w:r>
          </w:p>
        </w:tc>
        <w:tc>
          <w:tcPr>
            <w:tcW w:w="1337"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vMerge/>
            <w:vAlign w:val="center"/>
          </w:tcPr>
          <w:p w:rsidR="00D62DA4" w:rsidRPr="00570FF5" w:rsidRDefault="00D62DA4" w:rsidP="00012680">
            <w:pPr>
              <w:pStyle w:val="TAC"/>
              <w:rPr>
                <w:rFonts w:cs="Arial"/>
              </w:rPr>
            </w:pPr>
          </w:p>
        </w:tc>
        <w:tc>
          <w:tcPr>
            <w:tcW w:w="1269" w:type="dxa"/>
            <w:vMerge/>
            <w:vAlign w:val="center"/>
          </w:tcPr>
          <w:p w:rsidR="00D62DA4" w:rsidRPr="00570FF5" w:rsidRDefault="00D62DA4" w:rsidP="00012680">
            <w:pPr>
              <w:pStyle w:val="TAC"/>
              <w:rPr>
                <w:rFonts w:cs="Arial"/>
              </w:rPr>
            </w:pPr>
          </w:p>
        </w:tc>
      </w:tr>
      <w:tr w:rsidR="00D62DA4" w:rsidRPr="00570FF5" w:rsidTr="00012680">
        <w:trPr>
          <w:trHeight w:val="290"/>
          <w:jc w:val="center"/>
        </w:trPr>
        <w:tc>
          <w:tcPr>
            <w:tcW w:w="1308" w:type="dxa"/>
            <w:vAlign w:val="center"/>
          </w:tcPr>
          <w:p w:rsidR="00D62DA4" w:rsidRPr="00570FF5" w:rsidRDefault="00D62DA4" w:rsidP="00012680">
            <w:pPr>
              <w:pStyle w:val="TAC"/>
              <w:rPr>
                <w:rFonts w:cs="Arial"/>
              </w:rPr>
            </w:pPr>
            <w:r w:rsidRPr="00570FF5">
              <w:rPr>
                <w:rFonts w:cs="Arial"/>
              </w:rPr>
              <w:t>CA_2C</w:t>
            </w:r>
          </w:p>
        </w:tc>
        <w:tc>
          <w:tcPr>
            <w:tcW w:w="1170" w:type="dxa"/>
            <w:vAlign w:val="center"/>
          </w:tcPr>
          <w:p w:rsidR="00D62DA4" w:rsidRPr="00570FF5" w:rsidRDefault="00D62DA4" w:rsidP="00012680">
            <w:pPr>
              <w:pStyle w:val="TAC"/>
              <w:rPr>
                <w:rFonts w:cs="Arial"/>
              </w:rPr>
            </w:pPr>
          </w:p>
        </w:tc>
        <w:tc>
          <w:tcPr>
            <w:tcW w:w="1609" w:type="dxa"/>
            <w:shd w:val="clear" w:color="auto" w:fill="auto"/>
            <w:vAlign w:val="center"/>
          </w:tcPr>
          <w:p w:rsidR="00D62DA4" w:rsidRPr="00570FF5" w:rsidRDefault="00D62DA4" w:rsidP="00012680">
            <w:pPr>
              <w:pStyle w:val="TAC"/>
              <w:rPr>
                <w:rFonts w:cs="Arial"/>
              </w:rPr>
            </w:pPr>
            <w:r w:rsidRPr="00570FF5">
              <w:rPr>
                <w:rFonts w:cs="Arial"/>
              </w:rPr>
              <w:t>5</w:t>
            </w:r>
          </w:p>
        </w:tc>
        <w:tc>
          <w:tcPr>
            <w:tcW w:w="1452" w:type="dxa"/>
            <w:shd w:val="clear" w:color="auto" w:fill="auto"/>
            <w:vAlign w:val="center"/>
          </w:tcPr>
          <w:p w:rsidR="00D62DA4" w:rsidRPr="00570FF5" w:rsidRDefault="00D62DA4" w:rsidP="00012680">
            <w:pPr>
              <w:pStyle w:val="TAC"/>
              <w:rPr>
                <w:rFonts w:cs="Arial"/>
              </w:rPr>
            </w:pPr>
            <w:r w:rsidRPr="00570FF5">
              <w:rPr>
                <w:rFonts w:cs="Arial"/>
              </w:rPr>
              <w:t>20</w:t>
            </w:r>
          </w:p>
        </w:tc>
        <w:tc>
          <w:tcPr>
            <w:tcW w:w="1337"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tcPr>
          <w:p w:rsidR="00D62DA4" w:rsidRPr="00570FF5" w:rsidRDefault="00D62DA4" w:rsidP="00012680">
            <w:pPr>
              <w:pStyle w:val="TAC"/>
              <w:rPr>
                <w:rFonts w:cs="Arial"/>
              </w:rPr>
            </w:pPr>
          </w:p>
        </w:tc>
        <w:tc>
          <w:tcPr>
            <w:tcW w:w="1205" w:type="dxa"/>
            <w:vAlign w:val="center"/>
          </w:tcPr>
          <w:p w:rsidR="00D62DA4" w:rsidRPr="00570FF5" w:rsidRDefault="00D62DA4" w:rsidP="00012680">
            <w:pPr>
              <w:pStyle w:val="TAC"/>
              <w:rPr>
                <w:rFonts w:cs="Arial"/>
              </w:rPr>
            </w:pPr>
            <w:r w:rsidRPr="00570FF5">
              <w:rPr>
                <w:rFonts w:cs="Arial"/>
              </w:rPr>
              <w:t>40</w:t>
            </w:r>
          </w:p>
        </w:tc>
        <w:tc>
          <w:tcPr>
            <w:tcW w:w="1269" w:type="dxa"/>
            <w:vAlign w:val="center"/>
          </w:tcPr>
          <w:p w:rsidR="00D62DA4" w:rsidRPr="00570FF5" w:rsidRDefault="00D62DA4" w:rsidP="00012680">
            <w:pPr>
              <w:pStyle w:val="TAC"/>
              <w:rPr>
                <w:rFonts w:cs="Arial"/>
              </w:rPr>
            </w:pPr>
            <w:r w:rsidRPr="00570FF5">
              <w:rPr>
                <w:rFonts w:cs="Arial"/>
              </w:rPr>
              <w:t>0</w:t>
            </w:r>
          </w:p>
        </w:tc>
      </w:tr>
    </w:tbl>
    <w:p w:rsidR="00D62DA4" w:rsidRPr="00DE55B4" w:rsidRDefault="00D62DA4" w:rsidP="00E33730"/>
    <w:bookmarkEnd w:id="1"/>
    <w:p w:rsidR="0043450E" w:rsidRDefault="0043450E" w:rsidP="0043450E">
      <w:pPr>
        <w:pStyle w:val="Heading1"/>
      </w:pPr>
      <w:r>
        <w:t>3</w:t>
      </w:r>
      <w:r>
        <w:tab/>
        <w:t>Conclusion</w:t>
      </w:r>
    </w:p>
    <w:p w:rsidR="0043450E" w:rsidRDefault="00B24E42" w:rsidP="0043450E">
      <w:r>
        <w:t>In this contribution we have discussed some aspects of new UE spec for NR.</w:t>
      </w:r>
    </w:p>
    <w:p w:rsidR="0043450E" w:rsidRDefault="0043450E" w:rsidP="0043450E">
      <w:pPr>
        <w:pStyle w:val="Heading1"/>
      </w:pPr>
      <w:r>
        <w:t>4</w:t>
      </w:r>
      <w:r>
        <w:tab/>
        <w:t>References</w:t>
      </w:r>
    </w:p>
    <w:p w:rsidR="002B3503" w:rsidRDefault="00EB0A5F">
      <w:r>
        <w:t xml:space="preserve">[1] </w:t>
      </w:r>
      <w:r w:rsidRPr="00EB0A5F">
        <w:t>R4-1706157</w:t>
      </w:r>
      <w:r>
        <w:t xml:space="preserve">, </w:t>
      </w:r>
      <w:r w:rsidRPr="00EB0A5F">
        <w:t>Way Forward TS 38.101 Structure</w:t>
      </w:r>
      <w:r>
        <w:t xml:space="preserve">, </w:t>
      </w:r>
      <w:r w:rsidRPr="00EB0A5F">
        <w:t>Qualcomm</w:t>
      </w:r>
      <w:r>
        <w:t>, RAN4#83</w:t>
      </w:r>
    </w:p>
    <w:p w:rsidR="00E33730" w:rsidRDefault="00E33730">
      <w:r>
        <w:t xml:space="preserve">[2] </w:t>
      </w:r>
      <w:r w:rsidRPr="00E33730">
        <w:t>R4-1706689</w:t>
      </w:r>
      <w:r>
        <w:t>,</w:t>
      </w:r>
      <w:r w:rsidRPr="00E33730">
        <w:tab/>
        <w:t>NR band numbering</w:t>
      </w:r>
      <w:r>
        <w:t>,</w:t>
      </w:r>
      <w:r w:rsidRPr="00E33730">
        <w:tab/>
        <w:t>Nokia, Alcatel-Lucent Shanghai Bell</w:t>
      </w:r>
    </w:p>
    <w:sectPr w:rsidR="00E33730">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078E" w:rsidRDefault="0085078E" w:rsidP="002B3503">
      <w:pPr>
        <w:spacing w:after="0"/>
      </w:pPr>
      <w:r>
        <w:separator/>
      </w:r>
    </w:p>
  </w:endnote>
  <w:endnote w:type="continuationSeparator" w:id="0">
    <w:p w:rsidR="0085078E" w:rsidRDefault="0085078E"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078E" w:rsidRDefault="0085078E" w:rsidP="002B3503">
      <w:pPr>
        <w:spacing w:after="0"/>
      </w:pPr>
      <w:r>
        <w:separator/>
      </w:r>
    </w:p>
  </w:footnote>
  <w:footnote w:type="continuationSeparator" w:id="0">
    <w:p w:rsidR="0085078E" w:rsidRDefault="0085078E"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A21021"/>
    <w:multiLevelType w:val="hybridMultilevel"/>
    <w:tmpl w:val="04103104"/>
    <w:lvl w:ilvl="0" w:tplc="EE721FC2">
      <w:start w:val="1"/>
      <w:numFmt w:val="bullet"/>
      <w:lvlText w:val="•"/>
      <w:lvlJc w:val="left"/>
      <w:pPr>
        <w:tabs>
          <w:tab w:val="num" w:pos="720"/>
        </w:tabs>
        <w:ind w:left="720" w:hanging="360"/>
      </w:pPr>
      <w:rPr>
        <w:rFonts w:ascii="Arial" w:hAnsi="Arial" w:hint="default"/>
      </w:rPr>
    </w:lvl>
    <w:lvl w:ilvl="1" w:tplc="CAD860AC">
      <w:numFmt w:val="bullet"/>
      <w:lvlText w:val="•"/>
      <w:lvlJc w:val="left"/>
      <w:pPr>
        <w:tabs>
          <w:tab w:val="num" w:pos="1440"/>
        </w:tabs>
        <w:ind w:left="1440" w:hanging="360"/>
      </w:pPr>
      <w:rPr>
        <w:rFonts w:ascii="Arial" w:hAnsi="Arial" w:hint="default"/>
      </w:rPr>
    </w:lvl>
    <w:lvl w:ilvl="2" w:tplc="323209F6">
      <w:numFmt w:val="bullet"/>
      <w:lvlText w:val="•"/>
      <w:lvlJc w:val="left"/>
      <w:pPr>
        <w:tabs>
          <w:tab w:val="num" w:pos="2160"/>
        </w:tabs>
        <w:ind w:left="2160" w:hanging="360"/>
      </w:pPr>
      <w:rPr>
        <w:rFonts w:ascii="Arial" w:hAnsi="Arial" w:hint="default"/>
      </w:rPr>
    </w:lvl>
    <w:lvl w:ilvl="3" w:tplc="9F4A5540" w:tentative="1">
      <w:start w:val="1"/>
      <w:numFmt w:val="bullet"/>
      <w:lvlText w:val="•"/>
      <w:lvlJc w:val="left"/>
      <w:pPr>
        <w:tabs>
          <w:tab w:val="num" w:pos="2880"/>
        </w:tabs>
        <w:ind w:left="2880" w:hanging="360"/>
      </w:pPr>
      <w:rPr>
        <w:rFonts w:ascii="Arial" w:hAnsi="Arial" w:hint="default"/>
      </w:rPr>
    </w:lvl>
    <w:lvl w:ilvl="4" w:tplc="CD944544" w:tentative="1">
      <w:start w:val="1"/>
      <w:numFmt w:val="bullet"/>
      <w:lvlText w:val="•"/>
      <w:lvlJc w:val="left"/>
      <w:pPr>
        <w:tabs>
          <w:tab w:val="num" w:pos="3600"/>
        </w:tabs>
        <w:ind w:left="3600" w:hanging="360"/>
      </w:pPr>
      <w:rPr>
        <w:rFonts w:ascii="Arial" w:hAnsi="Arial" w:hint="default"/>
      </w:rPr>
    </w:lvl>
    <w:lvl w:ilvl="5" w:tplc="AE5A250C" w:tentative="1">
      <w:start w:val="1"/>
      <w:numFmt w:val="bullet"/>
      <w:lvlText w:val="•"/>
      <w:lvlJc w:val="left"/>
      <w:pPr>
        <w:tabs>
          <w:tab w:val="num" w:pos="4320"/>
        </w:tabs>
        <w:ind w:left="4320" w:hanging="360"/>
      </w:pPr>
      <w:rPr>
        <w:rFonts w:ascii="Arial" w:hAnsi="Arial" w:hint="default"/>
      </w:rPr>
    </w:lvl>
    <w:lvl w:ilvl="6" w:tplc="8EF0FC58" w:tentative="1">
      <w:start w:val="1"/>
      <w:numFmt w:val="bullet"/>
      <w:lvlText w:val="•"/>
      <w:lvlJc w:val="left"/>
      <w:pPr>
        <w:tabs>
          <w:tab w:val="num" w:pos="5040"/>
        </w:tabs>
        <w:ind w:left="5040" w:hanging="360"/>
      </w:pPr>
      <w:rPr>
        <w:rFonts w:ascii="Arial" w:hAnsi="Arial" w:hint="default"/>
      </w:rPr>
    </w:lvl>
    <w:lvl w:ilvl="7" w:tplc="789C7CD4" w:tentative="1">
      <w:start w:val="1"/>
      <w:numFmt w:val="bullet"/>
      <w:lvlText w:val="•"/>
      <w:lvlJc w:val="left"/>
      <w:pPr>
        <w:tabs>
          <w:tab w:val="num" w:pos="5760"/>
        </w:tabs>
        <w:ind w:left="5760" w:hanging="360"/>
      </w:pPr>
      <w:rPr>
        <w:rFonts w:ascii="Arial" w:hAnsi="Arial" w:hint="default"/>
      </w:rPr>
    </w:lvl>
    <w:lvl w:ilvl="8" w:tplc="533699A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5D653409"/>
    <w:multiLevelType w:val="hybridMultilevel"/>
    <w:tmpl w:val="224C0408"/>
    <w:lvl w:ilvl="0" w:tplc="13C0FF56">
      <w:start w:val="1"/>
      <w:numFmt w:val="bullet"/>
      <w:lvlText w:val="•"/>
      <w:lvlJc w:val="left"/>
      <w:pPr>
        <w:tabs>
          <w:tab w:val="num" w:pos="720"/>
        </w:tabs>
        <w:ind w:left="720" w:hanging="360"/>
      </w:pPr>
      <w:rPr>
        <w:rFonts w:ascii="Arial" w:hAnsi="Arial" w:hint="default"/>
      </w:rPr>
    </w:lvl>
    <w:lvl w:ilvl="1" w:tplc="44DAB6E6">
      <w:numFmt w:val="bullet"/>
      <w:lvlText w:val="•"/>
      <w:lvlJc w:val="left"/>
      <w:pPr>
        <w:tabs>
          <w:tab w:val="num" w:pos="1440"/>
        </w:tabs>
        <w:ind w:left="1440" w:hanging="360"/>
      </w:pPr>
      <w:rPr>
        <w:rFonts w:ascii="Arial" w:hAnsi="Arial" w:hint="default"/>
      </w:rPr>
    </w:lvl>
    <w:lvl w:ilvl="2" w:tplc="41E0AD2A" w:tentative="1">
      <w:start w:val="1"/>
      <w:numFmt w:val="bullet"/>
      <w:lvlText w:val="•"/>
      <w:lvlJc w:val="left"/>
      <w:pPr>
        <w:tabs>
          <w:tab w:val="num" w:pos="2160"/>
        </w:tabs>
        <w:ind w:left="2160" w:hanging="360"/>
      </w:pPr>
      <w:rPr>
        <w:rFonts w:ascii="Arial" w:hAnsi="Arial" w:hint="default"/>
      </w:rPr>
    </w:lvl>
    <w:lvl w:ilvl="3" w:tplc="C146149A" w:tentative="1">
      <w:start w:val="1"/>
      <w:numFmt w:val="bullet"/>
      <w:lvlText w:val="•"/>
      <w:lvlJc w:val="left"/>
      <w:pPr>
        <w:tabs>
          <w:tab w:val="num" w:pos="2880"/>
        </w:tabs>
        <w:ind w:left="2880" w:hanging="360"/>
      </w:pPr>
      <w:rPr>
        <w:rFonts w:ascii="Arial" w:hAnsi="Arial" w:hint="default"/>
      </w:rPr>
    </w:lvl>
    <w:lvl w:ilvl="4" w:tplc="AE489940" w:tentative="1">
      <w:start w:val="1"/>
      <w:numFmt w:val="bullet"/>
      <w:lvlText w:val="•"/>
      <w:lvlJc w:val="left"/>
      <w:pPr>
        <w:tabs>
          <w:tab w:val="num" w:pos="3600"/>
        </w:tabs>
        <w:ind w:left="3600" w:hanging="360"/>
      </w:pPr>
      <w:rPr>
        <w:rFonts w:ascii="Arial" w:hAnsi="Arial" w:hint="default"/>
      </w:rPr>
    </w:lvl>
    <w:lvl w:ilvl="5" w:tplc="D994B328" w:tentative="1">
      <w:start w:val="1"/>
      <w:numFmt w:val="bullet"/>
      <w:lvlText w:val="•"/>
      <w:lvlJc w:val="left"/>
      <w:pPr>
        <w:tabs>
          <w:tab w:val="num" w:pos="4320"/>
        </w:tabs>
        <w:ind w:left="4320" w:hanging="360"/>
      </w:pPr>
      <w:rPr>
        <w:rFonts w:ascii="Arial" w:hAnsi="Arial" w:hint="default"/>
      </w:rPr>
    </w:lvl>
    <w:lvl w:ilvl="6" w:tplc="7AB84FD2" w:tentative="1">
      <w:start w:val="1"/>
      <w:numFmt w:val="bullet"/>
      <w:lvlText w:val="•"/>
      <w:lvlJc w:val="left"/>
      <w:pPr>
        <w:tabs>
          <w:tab w:val="num" w:pos="5040"/>
        </w:tabs>
        <w:ind w:left="5040" w:hanging="360"/>
      </w:pPr>
      <w:rPr>
        <w:rFonts w:ascii="Arial" w:hAnsi="Arial" w:hint="default"/>
      </w:rPr>
    </w:lvl>
    <w:lvl w:ilvl="7" w:tplc="AEF692D8" w:tentative="1">
      <w:start w:val="1"/>
      <w:numFmt w:val="bullet"/>
      <w:lvlText w:val="•"/>
      <w:lvlJc w:val="left"/>
      <w:pPr>
        <w:tabs>
          <w:tab w:val="num" w:pos="5760"/>
        </w:tabs>
        <w:ind w:left="5760" w:hanging="360"/>
      </w:pPr>
      <w:rPr>
        <w:rFonts w:ascii="Arial" w:hAnsi="Arial" w:hint="default"/>
      </w:rPr>
    </w:lvl>
    <w:lvl w:ilvl="8" w:tplc="02AA784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450E"/>
    <w:rsid w:val="00043B83"/>
    <w:rsid w:val="00285D19"/>
    <w:rsid w:val="002B3503"/>
    <w:rsid w:val="0043450E"/>
    <w:rsid w:val="00504CF7"/>
    <w:rsid w:val="006A175A"/>
    <w:rsid w:val="006C6840"/>
    <w:rsid w:val="007A592D"/>
    <w:rsid w:val="0085078E"/>
    <w:rsid w:val="008A4493"/>
    <w:rsid w:val="00940559"/>
    <w:rsid w:val="00A451E8"/>
    <w:rsid w:val="00B24E42"/>
    <w:rsid w:val="00BC764C"/>
    <w:rsid w:val="00D62DA4"/>
    <w:rsid w:val="00DE55B4"/>
    <w:rsid w:val="00DF35FF"/>
    <w:rsid w:val="00E33730"/>
    <w:rsid w:val="00EB0A5F"/>
    <w:rsid w:val="00F5204D"/>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hapeDefaults>
    <o:shapedefaults v:ext="edit" spidmax="1026"/>
    <o:shapelayout v:ext="edit">
      <o:idmap v:ext="edit" data="1"/>
    </o:shapelayout>
  </w:shapeDefaults>
  <w:decimalSymbol w:val=","/>
  <w:listSeparator w:val=";"/>
  <w14:docId w14:val="6C314920"/>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B0A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
    <w:qFormat/>
    <w:rsid w:val="00EB0A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0A5F"/>
    <w:pPr>
      <w:pBdr>
        <w:top w:val="none" w:sz="0" w:space="0" w:color="auto"/>
      </w:pBdr>
      <w:spacing w:before="180"/>
      <w:outlineLvl w:val="1"/>
    </w:pPr>
    <w:rPr>
      <w:sz w:val="32"/>
    </w:rPr>
  </w:style>
  <w:style w:type="paragraph" w:styleId="Heading3">
    <w:name w:val="heading 3"/>
    <w:basedOn w:val="Heading2"/>
    <w:next w:val="Normal"/>
    <w:qFormat/>
    <w:rsid w:val="00EB0A5F"/>
    <w:pPr>
      <w:spacing w:before="120"/>
      <w:outlineLvl w:val="2"/>
    </w:pPr>
    <w:rPr>
      <w:sz w:val="28"/>
    </w:rPr>
  </w:style>
  <w:style w:type="paragraph" w:styleId="Heading4">
    <w:name w:val="heading 4"/>
    <w:basedOn w:val="Heading3"/>
    <w:next w:val="Normal"/>
    <w:qFormat/>
    <w:rsid w:val="00EB0A5F"/>
    <w:pPr>
      <w:ind w:left="1418" w:hanging="1418"/>
      <w:outlineLvl w:val="3"/>
    </w:pPr>
    <w:rPr>
      <w:sz w:val="24"/>
    </w:rPr>
  </w:style>
  <w:style w:type="paragraph" w:styleId="Heading5">
    <w:name w:val="heading 5"/>
    <w:basedOn w:val="Heading4"/>
    <w:next w:val="Normal"/>
    <w:qFormat/>
    <w:rsid w:val="00EB0A5F"/>
    <w:pPr>
      <w:ind w:left="1701" w:hanging="1701"/>
      <w:outlineLvl w:val="4"/>
    </w:pPr>
    <w:rPr>
      <w:sz w:val="22"/>
    </w:rPr>
  </w:style>
  <w:style w:type="paragraph" w:styleId="Heading6">
    <w:name w:val="heading 6"/>
    <w:basedOn w:val="H6"/>
    <w:next w:val="Normal"/>
    <w:qFormat/>
    <w:rsid w:val="00EB0A5F"/>
    <w:pPr>
      <w:outlineLvl w:val="5"/>
    </w:pPr>
  </w:style>
  <w:style w:type="paragraph" w:styleId="Heading7">
    <w:name w:val="heading 7"/>
    <w:basedOn w:val="H6"/>
    <w:next w:val="Normal"/>
    <w:qFormat/>
    <w:rsid w:val="00EB0A5F"/>
    <w:pPr>
      <w:outlineLvl w:val="6"/>
    </w:pPr>
  </w:style>
  <w:style w:type="paragraph" w:styleId="Heading8">
    <w:name w:val="heading 8"/>
    <w:basedOn w:val="Heading1"/>
    <w:next w:val="Normal"/>
    <w:qFormat/>
    <w:rsid w:val="00EB0A5F"/>
    <w:pPr>
      <w:ind w:left="0" w:firstLine="0"/>
      <w:outlineLvl w:val="7"/>
    </w:pPr>
  </w:style>
  <w:style w:type="paragraph" w:styleId="Heading9">
    <w:name w:val="heading 9"/>
    <w:basedOn w:val="Heading8"/>
    <w:next w:val="Normal"/>
    <w:qFormat/>
    <w:rsid w:val="00EB0A5F"/>
    <w:pPr>
      <w:outlineLvl w:val="8"/>
    </w:pPr>
  </w:style>
  <w:style w:type="character" w:default="1" w:styleId="DefaultParagraphFont">
    <w:name w:val="Default Paragraph Font"/>
    <w:semiHidden/>
    <w:rsid w:val="00EB0A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0A5F"/>
  </w:style>
  <w:style w:type="paragraph" w:styleId="TOC8">
    <w:name w:val="toc 8"/>
    <w:basedOn w:val="TOC1"/>
    <w:semiHidden/>
    <w:rsid w:val="00EB0A5F"/>
    <w:pPr>
      <w:spacing w:before="180"/>
      <w:ind w:left="2693" w:hanging="2693"/>
    </w:pPr>
    <w:rPr>
      <w:b/>
    </w:rPr>
  </w:style>
  <w:style w:type="paragraph" w:styleId="TOC1">
    <w:name w:val="toc 1"/>
    <w:semiHidden/>
    <w:rsid w:val="00EB0A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EB0A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0A5F"/>
    <w:pPr>
      <w:ind w:left="1701" w:hanging="1701"/>
    </w:pPr>
  </w:style>
  <w:style w:type="paragraph" w:styleId="TOC4">
    <w:name w:val="toc 4"/>
    <w:basedOn w:val="TOC3"/>
    <w:semiHidden/>
    <w:rsid w:val="00EB0A5F"/>
    <w:pPr>
      <w:ind w:left="1418" w:hanging="1418"/>
    </w:pPr>
  </w:style>
  <w:style w:type="paragraph" w:styleId="TOC3">
    <w:name w:val="toc 3"/>
    <w:basedOn w:val="TOC2"/>
    <w:semiHidden/>
    <w:rsid w:val="00EB0A5F"/>
    <w:pPr>
      <w:ind w:left="1134" w:hanging="1134"/>
    </w:pPr>
  </w:style>
  <w:style w:type="paragraph" w:styleId="TOC2">
    <w:name w:val="toc 2"/>
    <w:basedOn w:val="TOC1"/>
    <w:semiHidden/>
    <w:rsid w:val="00EB0A5F"/>
    <w:pPr>
      <w:keepNext w:val="0"/>
      <w:spacing w:before="0"/>
      <w:ind w:left="851" w:hanging="851"/>
    </w:pPr>
    <w:rPr>
      <w:sz w:val="20"/>
    </w:rPr>
  </w:style>
  <w:style w:type="paragraph" w:styleId="Index2">
    <w:name w:val="index 2"/>
    <w:basedOn w:val="Index1"/>
    <w:semiHidden/>
    <w:rsid w:val="00EB0A5F"/>
    <w:pPr>
      <w:ind w:left="284"/>
    </w:pPr>
  </w:style>
  <w:style w:type="paragraph" w:styleId="Index1">
    <w:name w:val="index 1"/>
    <w:basedOn w:val="Normal"/>
    <w:semiHidden/>
    <w:rsid w:val="00EB0A5F"/>
    <w:pPr>
      <w:keepLines/>
      <w:spacing w:after="0"/>
    </w:pPr>
  </w:style>
  <w:style w:type="paragraph" w:customStyle="1" w:styleId="ZH">
    <w:name w:val="ZH"/>
    <w:rsid w:val="00EB0A5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0A5F"/>
    <w:pPr>
      <w:outlineLvl w:val="9"/>
    </w:pPr>
  </w:style>
  <w:style w:type="paragraph" w:styleId="ListNumber2">
    <w:name w:val="List Number 2"/>
    <w:basedOn w:val="ListNumber"/>
    <w:semiHidden/>
    <w:rsid w:val="00EB0A5F"/>
    <w:pPr>
      <w:ind w:left="851"/>
    </w:pPr>
  </w:style>
  <w:style w:type="paragraph" w:styleId="Header">
    <w:name w:val="header"/>
    <w:semiHidden/>
    <w:rsid w:val="00EB0A5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EB0A5F"/>
    <w:rPr>
      <w:b/>
      <w:position w:val="6"/>
      <w:sz w:val="16"/>
    </w:rPr>
  </w:style>
  <w:style w:type="paragraph" w:styleId="FootnoteText">
    <w:name w:val="footnote text"/>
    <w:basedOn w:val="Normal"/>
    <w:semiHidden/>
    <w:rsid w:val="00EB0A5F"/>
    <w:pPr>
      <w:keepLines/>
      <w:spacing w:after="0"/>
      <w:ind w:left="454" w:hanging="454"/>
    </w:pPr>
    <w:rPr>
      <w:sz w:val="16"/>
    </w:rPr>
  </w:style>
  <w:style w:type="paragraph" w:customStyle="1" w:styleId="TAH">
    <w:name w:val="TAH"/>
    <w:basedOn w:val="TAC"/>
    <w:link w:val="TAHCar"/>
    <w:rsid w:val="00EB0A5F"/>
    <w:rPr>
      <w:b/>
    </w:rPr>
  </w:style>
  <w:style w:type="paragraph" w:customStyle="1" w:styleId="TAC">
    <w:name w:val="TAC"/>
    <w:basedOn w:val="TAL"/>
    <w:link w:val="TACChar"/>
    <w:rsid w:val="00EB0A5F"/>
    <w:pPr>
      <w:jc w:val="center"/>
    </w:pPr>
  </w:style>
  <w:style w:type="paragraph" w:customStyle="1" w:styleId="TF">
    <w:name w:val="TF"/>
    <w:basedOn w:val="TH"/>
    <w:rsid w:val="00EB0A5F"/>
    <w:pPr>
      <w:keepNext w:val="0"/>
      <w:spacing w:before="0" w:after="240"/>
    </w:pPr>
  </w:style>
  <w:style w:type="paragraph" w:customStyle="1" w:styleId="NO">
    <w:name w:val="NO"/>
    <w:basedOn w:val="Normal"/>
    <w:rsid w:val="00EB0A5F"/>
    <w:pPr>
      <w:keepLines/>
      <w:ind w:left="1135" w:hanging="851"/>
    </w:pPr>
  </w:style>
  <w:style w:type="paragraph" w:styleId="TOC9">
    <w:name w:val="toc 9"/>
    <w:basedOn w:val="TOC8"/>
    <w:semiHidden/>
    <w:rsid w:val="00EB0A5F"/>
    <w:pPr>
      <w:ind w:left="1418" w:hanging="1418"/>
    </w:pPr>
  </w:style>
  <w:style w:type="paragraph" w:customStyle="1" w:styleId="EX">
    <w:name w:val="EX"/>
    <w:basedOn w:val="Normal"/>
    <w:rsid w:val="00EB0A5F"/>
    <w:pPr>
      <w:keepLines/>
      <w:ind w:left="1702" w:hanging="1418"/>
    </w:pPr>
  </w:style>
  <w:style w:type="paragraph" w:customStyle="1" w:styleId="FP">
    <w:name w:val="FP"/>
    <w:basedOn w:val="Normal"/>
    <w:rsid w:val="00EB0A5F"/>
    <w:pPr>
      <w:spacing w:after="0"/>
    </w:pPr>
  </w:style>
  <w:style w:type="paragraph" w:customStyle="1" w:styleId="LD">
    <w:name w:val="LD"/>
    <w:rsid w:val="00EB0A5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0A5F"/>
    <w:pPr>
      <w:spacing w:after="0"/>
    </w:pPr>
  </w:style>
  <w:style w:type="paragraph" w:customStyle="1" w:styleId="EW">
    <w:name w:val="EW"/>
    <w:basedOn w:val="EX"/>
    <w:rsid w:val="00EB0A5F"/>
    <w:pPr>
      <w:spacing w:after="0"/>
    </w:pPr>
  </w:style>
  <w:style w:type="paragraph" w:styleId="TOC6">
    <w:name w:val="toc 6"/>
    <w:basedOn w:val="TOC5"/>
    <w:next w:val="Normal"/>
    <w:semiHidden/>
    <w:rsid w:val="00EB0A5F"/>
    <w:pPr>
      <w:ind w:left="1985" w:hanging="1985"/>
    </w:pPr>
  </w:style>
  <w:style w:type="paragraph" w:styleId="TOC7">
    <w:name w:val="toc 7"/>
    <w:basedOn w:val="TOC6"/>
    <w:next w:val="Normal"/>
    <w:semiHidden/>
    <w:rsid w:val="00EB0A5F"/>
    <w:pPr>
      <w:ind w:left="2268" w:hanging="2268"/>
    </w:pPr>
  </w:style>
  <w:style w:type="paragraph" w:styleId="ListBullet2">
    <w:name w:val="List Bullet 2"/>
    <w:basedOn w:val="ListBullet"/>
    <w:semiHidden/>
    <w:rsid w:val="00EB0A5F"/>
    <w:pPr>
      <w:ind w:left="851"/>
    </w:pPr>
  </w:style>
  <w:style w:type="paragraph" w:styleId="ListBullet3">
    <w:name w:val="List Bullet 3"/>
    <w:basedOn w:val="ListBullet2"/>
    <w:semiHidden/>
    <w:rsid w:val="00EB0A5F"/>
    <w:pPr>
      <w:ind w:left="1135"/>
    </w:pPr>
  </w:style>
  <w:style w:type="paragraph" w:styleId="ListNumber">
    <w:name w:val="List Number"/>
    <w:basedOn w:val="List"/>
    <w:semiHidden/>
    <w:rsid w:val="00EB0A5F"/>
  </w:style>
  <w:style w:type="paragraph" w:customStyle="1" w:styleId="EQ">
    <w:name w:val="EQ"/>
    <w:basedOn w:val="Normal"/>
    <w:next w:val="Normal"/>
    <w:rsid w:val="00EB0A5F"/>
    <w:pPr>
      <w:keepLines/>
      <w:tabs>
        <w:tab w:val="center" w:pos="4536"/>
        <w:tab w:val="right" w:pos="9072"/>
      </w:tabs>
    </w:pPr>
    <w:rPr>
      <w:noProof/>
    </w:rPr>
  </w:style>
  <w:style w:type="paragraph" w:customStyle="1" w:styleId="TH">
    <w:name w:val="TH"/>
    <w:basedOn w:val="Normal"/>
    <w:rsid w:val="00EB0A5F"/>
    <w:pPr>
      <w:keepNext/>
      <w:keepLines/>
      <w:spacing w:before="60"/>
      <w:jc w:val="center"/>
    </w:pPr>
    <w:rPr>
      <w:rFonts w:ascii="Arial" w:hAnsi="Arial"/>
      <w:b/>
    </w:rPr>
  </w:style>
  <w:style w:type="paragraph" w:customStyle="1" w:styleId="NF">
    <w:name w:val="NF"/>
    <w:basedOn w:val="NO"/>
    <w:rsid w:val="00EB0A5F"/>
    <w:pPr>
      <w:keepNext/>
      <w:spacing w:after="0"/>
    </w:pPr>
    <w:rPr>
      <w:rFonts w:ascii="Arial" w:hAnsi="Arial"/>
      <w:sz w:val="18"/>
    </w:rPr>
  </w:style>
  <w:style w:type="paragraph" w:customStyle="1" w:styleId="PL">
    <w:name w:val="PL"/>
    <w:rsid w:val="00EB0A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0A5F"/>
    <w:pPr>
      <w:jc w:val="right"/>
    </w:pPr>
  </w:style>
  <w:style w:type="paragraph" w:customStyle="1" w:styleId="H6">
    <w:name w:val="H6"/>
    <w:basedOn w:val="Heading5"/>
    <w:next w:val="Normal"/>
    <w:rsid w:val="00EB0A5F"/>
    <w:pPr>
      <w:ind w:left="1985" w:hanging="1985"/>
      <w:outlineLvl w:val="9"/>
    </w:pPr>
    <w:rPr>
      <w:sz w:val="20"/>
    </w:rPr>
  </w:style>
  <w:style w:type="paragraph" w:customStyle="1" w:styleId="TAN">
    <w:name w:val="TAN"/>
    <w:basedOn w:val="TAL"/>
    <w:rsid w:val="00EB0A5F"/>
    <w:pPr>
      <w:ind w:left="851" w:hanging="851"/>
    </w:pPr>
  </w:style>
  <w:style w:type="paragraph" w:customStyle="1" w:styleId="TAL">
    <w:name w:val="TAL"/>
    <w:basedOn w:val="Normal"/>
    <w:rsid w:val="00EB0A5F"/>
    <w:pPr>
      <w:keepNext/>
      <w:keepLines/>
      <w:spacing w:after="0"/>
    </w:pPr>
    <w:rPr>
      <w:rFonts w:ascii="Arial" w:hAnsi="Arial"/>
      <w:sz w:val="18"/>
    </w:rPr>
  </w:style>
  <w:style w:type="paragraph" w:customStyle="1" w:styleId="ZA">
    <w:name w:val="ZA"/>
    <w:rsid w:val="00EB0A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0A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0A5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0A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0A5F"/>
    <w:pPr>
      <w:framePr w:wrap="notBeside" w:y="16161"/>
    </w:pPr>
  </w:style>
  <w:style w:type="character" w:customStyle="1" w:styleId="ZGSM">
    <w:name w:val="ZGSM"/>
    <w:rsid w:val="00EB0A5F"/>
  </w:style>
  <w:style w:type="paragraph" w:styleId="List2">
    <w:name w:val="List 2"/>
    <w:basedOn w:val="List"/>
    <w:semiHidden/>
    <w:rsid w:val="00EB0A5F"/>
    <w:pPr>
      <w:ind w:left="851"/>
    </w:pPr>
  </w:style>
  <w:style w:type="paragraph" w:customStyle="1" w:styleId="ZG">
    <w:name w:val="ZG"/>
    <w:rsid w:val="00EB0A5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EB0A5F"/>
    <w:pPr>
      <w:ind w:left="1135"/>
    </w:pPr>
  </w:style>
  <w:style w:type="paragraph" w:styleId="List4">
    <w:name w:val="List 4"/>
    <w:basedOn w:val="List3"/>
    <w:semiHidden/>
    <w:rsid w:val="00EB0A5F"/>
    <w:pPr>
      <w:ind w:left="1418"/>
    </w:pPr>
  </w:style>
  <w:style w:type="paragraph" w:styleId="List5">
    <w:name w:val="List 5"/>
    <w:basedOn w:val="List4"/>
    <w:semiHidden/>
    <w:rsid w:val="00EB0A5F"/>
    <w:pPr>
      <w:ind w:left="1702"/>
    </w:pPr>
  </w:style>
  <w:style w:type="paragraph" w:customStyle="1" w:styleId="EditorsNote">
    <w:name w:val="Editor's Note"/>
    <w:basedOn w:val="NO"/>
    <w:rsid w:val="00EB0A5F"/>
    <w:rPr>
      <w:color w:val="FF0000"/>
    </w:rPr>
  </w:style>
  <w:style w:type="paragraph" w:styleId="List">
    <w:name w:val="List"/>
    <w:basedOn w:val="Normal"/>
    <w:semiHidden/>
    <w:rsid w:val="00EB0A5F"/>
    <w:pPr>
      <w:ind w:left="568" w:hanging="284"/>
    </w:pPr>
  </w:style>
  <w:style w:type="paragraph" w:styleId="ListBullet">
    <w:name w:val="List Bullet"/>
    <w:basedOn w:val="List"/>
    <w:semiHidden/>
    <w:rsid w:val="00EB0A5F"/>
  </w:style>
  <w:style w:type="paragraph" w:styleId="ListBullet4">
    <w:name w:val="List Bullet 4"/>
    <w:basedOn w:val="ListBullet3"/>
    <w:semiHidden/>
    <w:rsid w:val="00EB0A5F"/>
    <w:pPr>
      <w:ind w:left="1418"/>
    </w:pPr>
  </w:style>
  <w:style w:type="paragraph" w:styleId="ListBullet5">
    <w:name w:val="List Bullet 5"/>
    <w:basedOn w:val="ListBullet4"/>
    <w:semiHidden/>
    <w:rsid w:val="00EB0A5F"/>
    <w:pPr>
      <w:ind w:left="1702"/>
    </w:pPr>
  </w:style>
  <w:style w:type="paragraph" w:customStyle="1" w:styleId="B1">
    <w:name w:val="B1"/>
    <w:basedOn w:val="List"/>
    <w:rsid w:val="00EB0A5F"/>
  </w:style>
  <w:style w:type="paragraph" w:customStyle="1" w:styleId="B2">
    <w:name w:val="B2"/>
    <w:basedOn w:val="List2"/>
    <w:rsid w:val="00EB0A5F"/>
  </w:style>
  <w:style w:type="paragraph" w:customStyle="1" w:styleId="B3">
    <w:name w:val="B3"/>
    <w:basedOn w:val="List3"/>
    <w:rsid w:val="00EB0A5F"/>
  </w:style>
  <w:style w:type="paragraph" w:customStyle="1" w:styleId="B4">
    <w:name w:val="B4"/>
    <w:basedOn w:val="List4"/>
    <w:rsid w:val="00EB0A5F"/>
  </w:style>
  <w:style w:type="paragraph" w:customStyle="1" w:styleId="B5">
    <w:name w:val="B5"/>
    <w:basedOn w:val="List5"/>
    <w:rsid w:val="00EB0A5F"/>
  </w:style>
  <w:style w:type="paragraph" w:styleId="Footer">
    <w:name w:val="footer"/>
    <w:basedOn w:val="Header"/>
    <w:semiHidden/>
    <w:rsid w:val="00EB0A5F"/>
    <w:pPr>
      <w:jc w:val="center"/>
    </w:pPr>
    <w:rPr>
      <w:i/>
    </w:rPr>
  </w:style>
  <w:style w:type="paragraph" w:customStyle="1" w:styleId="ZTD">
    <w:name w:val="ZTD"/>
    <w:basedOn w:val="ZB"/>
    <w:rsid w:val="00EB0A5F"/>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paragraph" w:styleId="ListParagraph">
    <w:name w:val="List Paragraph"/>
    <w:basedOn w:val="Normal"/>
    <w:uiPriority w:val="34"/>
    <w:qFormat/>
    <w:rsid w:val="00EB0A5F"/>
    <w:pPr>
      <w:overflowPunct/>
      <w:autoSpaceDE/>
      <w:autoSpaceDN/>
      <w:adjustRightInd/>
      <w:spacing w:after="0"/>
      <w:ind w:left="720"/>
      <w:contextualSpacing/>
      <w:textAlignment w:val="auto"/>
    </w:pPr>
    <w:rPr>
      <w:sz w:val="24"/>
      <w:szCs w:val="24"/>
      <w:lang w:val="fi-FI" w:eastAsia="fi-FI"/>
    </w:rPr>
  </w:style>
  <w:style w:type="character" w:customStyle="1" w:styleId="TACChar">
    <w:name w:val="TAC Char"/>
    <w:link w:val="TAC"/>
    <w:rsid w:val="00DE55B4"/>
    <w:rPr>
      <w:rFonts w:ascii="Arial" w:hAnsi="Arial"/>
      <w:sz w:val="18"/>
      <w:lang w:val="en-GB" w:eastAsia="en-US"/>
    </w:rPr>
  </w:style>
  <w:style w:type="character" w:customStyle="1" w:styleId="TAHCar">
    <w:name w:val="TAH Car"/>
    <w:link w:val="TAH"/>
    <w:rsid w:val="00D62DA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296308">
      <w:bodyDiv w:val="1"/>
      <w:marLeft w:val="0"/>
      <w:marRight w:val="0"/>
      <w:marTop w:val="0"/>
      <w:marBottom w:val="0"/>
      <w:divBdr>
        <w:top w:val="none" w:sz="0" w:space="0" w:color="auto"/>
        <w:left w:val="none" w:sz="0" w:space="0" w:color="auto"/>
        <w:bottom w:val="none" w:sz="0" w:space="0" w:color="auto"/>
        <w:right w:val="none" w:sz="0" w:space="0" w:color="auto"/>
      </w:divBdr>
      <w:divsChild>
        <w:div w:id="1971981019">
          <w:marLeft w:val="360"/>
          <w:marRight w:val="0"/>
          <w:marTop w:val="200"/>
          <w:marBottom w:val="0"/>
          <w:divBdr>
            <w:top w:val="none" w:sz="0" w:space="0" w:color="auto"/>
            <w:left w:val="none" w:sz="0" w:space="0" w:color="auto"/>
            <w:bottom w:val="none" w:sz="0" w:space="0" w:color="auto"/>
            <w:right w:val="none" w:sz="0" w:space="0" w:color="auto"/>
          </w:divBdr>
        </w:div>
        <w:div w:id="1001087292">
          <w:marLeft w:val="1080"/>
          <w:marRight w:val="0"/>
          <w:marTop w:val="100"/>
          <w:marBottom w:val="0"/>
          <w:divBdr>
            <w:top w:val="none" w:sz="0" w:space="0" w:color="auto"/>
            <w:left w:val="none" w:sz="0" w:space="0" w:color="auto"/>
            <w:bottom w:val="none" w:sz="0" w:space="0" w:color="auto"/>
            <w:right w:val="none" w:sz="0" w:space="0" w:color="auto"/>
          </w:divBdr>
        </w:div>
        <w:div w:id="604772332">
          <w:marLeft w:val="1080"/>
          <w:marRight w:val="0"/>
          <w:marTop w:val="100"/>
          <w:marBottom w:val="0"/>
          <w:divBdr>
            <w:top w:val="none" w:sz="0" w:space="0" w:color="auto"/>
            <w:left w:val="none" w:sz="0" w:space="0" w:color="auto"/>
            <w:bottom w:val="none" w:sz="0" w:space="0" w:color="auto"/>
            <w:right w:val="none" w:sz="0" w:space="0" w:color="auto"/>
          </w:divBdr>
        </w:div>
        <w:div w:id="100805913">
          <w:marLeft w:val="1080"/>
          <w:marRight w:val="0"/>
          <w:marTop w:val="100"/>
          <w:marBottom w:val="0"/>
          <w:divBdr>
            <w:top w:val="none" w:sz="0" w:space="0" w:color="auto"/>
            <w:left w:val="none" w:sz="0" w:space="0" w:color="auto"/>
            <w:bottom w:val="none" w:sz="0" w:space="0" w:color="auto"/>
            <w:right w:val="none" w:sz="0" w:space="0" w:color="auto"/>
          </w:divBdr>
        </w:div>
        <w:div w:id="1689332178">
          <w:marLeft w:val="360"/>
          <w:marRight w:val="0"/>
          <w:marTop w:val="200"/>
          <w:marBottom w:val="0"/>
          <w:divBdr>
            <w:top w:val="none" w:sz="0" w:space="0" w:color="auto"/>
            <w:left w:val="none" w:sz="0" w:space="0" w:color="auto"/>
            <w:bottom w:val="none" w:sz="0" w:space="0" w:color="auto"/>
            <w:right w:val="none" w:sz="0" w:space="0" w:color="auto"/>
          </w:divBdr>
        </w:div>
        <w:div w:id="861821031">
          <w:marLeft w:val="360"/>
          <w:marRight w:val="0"/>
          <w:marTop w:val="200"/>
          <w:marBottom w:val="0"/>
          <w:divBdr>
            <w:top w:val="none" w:sz="0" w:space="0" w:color="auto"/>
            <w:left w:val="none" w:sz="0" w:space="0" w:color="auto"/>
            <w:bottom w:val="none" w:sz="0" w:space="0" w:color="auto"/>
            <w:right w:val="none" w:sz="0" w:space="0" w:color="auto"/>
          </w:divBdr>
        </w:div>
        <w:div w:id="1780636692">
          <w:marLeft w:val="1080"/>
          <w:marRight w:val="0"/>
          <w:marTop w:val="100"/>
          <w:marBottom w:val="0"/>
          <w:divBdr>
            <w:top w:val="none" w:sz="0" w:space="0" w:color="auto"/>
            <w:left w:val="none" w:sz="0" w:space="0" w:color="auto"/>
            <w:bottom w:val="none" w:sz="0" w:space="0" w:color="auto"/>
            <w:right w:val="none" w:sz="0" w:space="0" w:color="auto"/>
          </w:divBdr>
        </w:div>
        <w:div w:id="470444247">
          <w:marLeft w:val="1080"/>
          <w:marRight w:val="0"/>
          <w:marTop w:val="100"/>
          <w:marBottom w:val="0"/>
          <w:divBdr>
            <w:top w:val="none" w:sz="0" w:space="0" w:color="auto"/>
            <w:left w:val="none" w:sz="0" w:space="0" w:color="auto"/>
            <w:bottom w:val="none" w:sz="0" w:space="0" w:color="auto"/>
            <w:right w:val="none" w:sz="0" w:space="0" w:color="auto"/>
          </w:divBdr>
        </w:div>
      </w:divsChild>
    </w:div>
    <w:div w:id="1206211497">
      <w:bodyDiv w:val="1"/>
      <w:marLeft w:val="0"/>
      <w:marRight w:val="0"/>
      <w:marTop w:val="0"/>
      <w:marBottom w:val="0"/>
      <w:divBdr>
        <w:top w:val="none" w:sz="0" w:space="0" w:color="auto"/>
        <w:left w:val="none" w:sz="0" w:space="0" w:color="auto"/>
        <w:bottom w:val="none" w:sz="0" w:space="0" w:color="auto"/>
        <w:right w:val="none" w:sz="0" w:space="0" w:color="auto"/>
      </w:divBdr>
      <w:divsChild>
        <w:div w:id="1760298292">
          <w:marLeft w:val="360"/>
          <w:marRight w:val="0"/>
          <w:marTop w:val="200"/>
          <w:marBottom w:val="0"/>
          <w:divBdr>
            <w:top w:val="none" w:sz="0" w:space="0" w:color="auto"/>
            <w:left w:val="none" w:sz="0" w:space="0" w:color="auto"/>
            <w:bottom w:val="none" w:sz="0" w:space="0" w:color="auto"/>
            <w:right w:val="none" w:sz="0" w:space="0" w:color="auto"/>
          </w:divBdr>
        </w:div>
        <w:div w:id="2131127750">
          <w:marLeft w:val="1080"/>
          <w:marRight w:val="0"/>
          <w:marTop w:val="100"/>
          <w:marBottom w:val="0"/>
          <w:divBdr>
            <w:top w:val="none" w:sz="0" w:space="0" w:color="auto"/>
            <w:left w:val="none" w:sz="0" w:space="0" w:color="auto"/>
            <w:bottom w:val="none" w:sz="0" w:space="0" w:color="auto"/>
            <w:right w:val="none" w:sz="0" w:space="0" w:color="auto"/>
          </w:divBdr>
        </w:div>
        <w:div w:id="1616250695">
          <w:marLeft w:val="1080"/>
          <w:marRight w:val="0"/>
          <w:marTop w:val="100"/>
          <w:marBottom w:val="0"/>
          <w:divBdr>
            <w:top w:val="none" w:sz="0" w:space="0" w:color="auto"/>
            <w:left w:val="none" w:sz="0" w:space="0" w:color="auto"/>
            <w:bottom w:val="none" w:sz="0" w:space="0" w:color="auto"/>
            <w:right w:val="none" w:sz="0" w:space="0" w:color="auto"/>
          </w:divBdr>
        </w:div>
        <w:div w:id="1332247771">
          <w:marLeft w:val="1080"/>
          <w:marRight w:val="0"/>
          <w:marTop w:val="100"/>
          <w:marBottom w:val="0"/>
          <w:divBdr>
            <w:top w:val="none" w:sz="0" w:space="0" w:color="auto"/>
            <w:left w:val="none" w:sz="0" w:space="0" w:color="auto"/>
            <w:bottom w:val="none" w:sz="0" w:space="0" w:color="auto"/>
            <w:right w:val="none" w:sz="0" w:space="0" w:color="auto"/>
          </w:divBdr>
        </w:div>
        <w:div w:id="1496728435">
          <w:marLeft w:val="1800"/>
          <w:marRight w:val="0"/>
          <w:marTop w:val="100"/>
          <w:marBottom w:val="0"/>
          <w:divBdr>
            <w:top w:val="none" w:sz="0" w:space="0" w:color="auto"/>
            <w:left w:val="none" w:sz="0" w:space="0" w:color="auto"/>
            <w:bottom w:val="none" w:sz="0" w:space="0" w:color="auto"/>
            <w:right w:val="none" w:sz="0" w:space="0" w:color="auto"/>
          </w:divBdr>
        </w:div>
        <w:div w:id="327102753">
          <w:marLeft w:val="1800"/>
          <w:marRight w:val="0"/>
          <w:marTop w:val="100"/>
          <w:marBottom w:val="0"/>
          <w:divBdr>
            <w:top w:val="none" w:sz="0" w:space="0" w:color="auto"/>
            <w:left w:val="none" w:sz="0" w:space="0" w:color="auto"/>
            <w:bottom w:val="none" w:sz="0" w:space="0" w:color="auto"/>
            <w:right w:val="none" w:sz="0" w:space="0" w:color="auto"/>
          </w:divBdr>
        </w:div>
        <w:div w:id="1384597088">
          <w:marLeft w:val="360"/>
          <w:marRight w:val="0"/>
          <w:marTop w:val="200"/>
          <w:marBottom w:val="0"/>
          <w:divBdr>
            <w:top w:val="none" w:sz="0" w:space="0" w:color="auto"/>
            <w:left w:val="none" w:sz="0" w:space="0" w:color="auto"/>
            <w:bottom w:val="none" w:sz="0" w:space="0" w:color="auto"/>
            <w:right w:val="none" w:sz="0" w:space="0" w:color="auto"/>
          </w:divBdr>
        </w:div>
        <w:div w:id="1845246520">
          <w:marLeft w:val="360"/>
          <w:marRight w:val="0"/>
          <w:marTop w:val="200"/>
          <w:marBottom w:val="0"/>
          <w:divBdr>
            <w:top w:val="none" w:sz="0" w:space="0" w:color="auto"/>
            <w:left w:val="none" w:sz="0" w:space="0" w:color="auto"/>
            <w:bottom w:val="none" w:sz="0" w:space="0" w:color="auto"/>
            <w:right w:val="none" w:sz="0" w:space="0" w:color="auto"/>
          </w:divBdr>
        </w:div>
        <w:div w:id="351416412">
          <w:marLeft w:val="360"/>
          <w:marRight w:val="0"/>
          <w:marTop w:val="200"/>
          <w:marBottom w:val="0"/>
          <w:divBdr>
            <w:top w:val="none" w:sz="0" w:space="0" w:color="auto"/>
            <w:left w:val="none" w:sz="0" w:space="0" w:color="auto"/>
            <w:bottom w:val="none" w:sz="0" w:space="0" w:color="auto"/>
            <w:right w:val="none" w:sz="0" w:space="0" w:color="auto"/>
          </w:divBdr>
        </w:div>
      </w:divsChild>
    </w:div>
    <w:div w:id="158468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157</TotalTime>
  <Pages>3</Pages>
  <Words>595</Words>
  <Characters>4822</Characters>
  <Application>Microsoft Office Word</Application>
  <DocSecurity>0</DocSecurity>
  <Lines>40</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Petri Vasenkari</dc:creator>
  <cp:keywords>ESA, style sheet, Winword</cp:keywords>
  <dc:description/>
  <cp:lastModifiedBy>Vasenkari, Petri J. (Nokia - FI/Espoo)</cp:lastModifiedBy>
  <cp:revision>4</cp:revision>
  <cp:lastPrinted>1899-12-31T22:00:00Z</cp:lastPrinted>
  <dcterms:created xsi:type="dcterms:W3CDTF">2017-06-19T12:12:00Z</dcterms:created>
  <dcterms:modified xsi:type="dcterms:W3CDTF">2017-06-19T15:11:00Z</dcterms:modified>
</cp:coreProperties>
</file>